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A3A5C" w:val="clear"/>
        <w:spacing w:before="0" w:after="0"/>
      </w:pPr>
      <w:r>
        <w:rPr>
          <w:rFonts w:ascii="Calibri" w:cs="Calibri" w:eastAsia="Calibri" w:hAnsi="Calibri"/>
          <w:b/>
          <w:bCs/>
          <w:color w:val="C9A84C"/>
          <w:sz w:val="16"/>
          <w:szCs w:val="16"/>
        </w:rPr>
        <w:t xml:space="preserve">  FAYETTEVILLE TECHNICAL COMMUNITY COLLEGE  |  HIGH-QUALITY COURSE DESIGN PROGRAM  |  QM ALIGNMENT SUMMARY</w:t>
      </w:r>
    </w:p>
    <w:p>
      <w:pPr>
        <w:spacing w:before="100" w:after="10"/>
      </w:pPr>
      <w:r>
        <w:rPr>
          <w:rFonts w:ascii="Calibri" w:cs="Calibri" w:eastAsia="Calibri" w:hAnsi="Calibri"/>
          <w:b/>
          <w:bCs/>
          <w:color w:val="1A3A5C"/>
          <w:sz w:val="32"/>
          <w:szCs w:val="32"/>
        </w:rPr>
        <w:t xml:space="preserve">Quality Matters Alignment Summary</w:t>
      </w:r>
    </w:p>
    <w:p>
      <w:pPr>
        <w:pBdr>
          <w:bottom w:val="single" w:color="C9A84C" w:sz="8"/>
        </w:pBdr>
        <w:spacing w:before="0" w:after="80"/>
      </w:pPr>
      <w:r>
        <w:rPr>
          <w:rFonts w:ascii="Calibri" w:cs="Calibri" w:eastAsia="Calibri" w:hAnsi="Calibri"/>
          <w:b w:val="false"/>
          <w:bCs w:val="false"/>
          <w:color w:val="1B6CA8"/>
          <w:sz w:val="19"/>
          <w:szCs w:val="19"/>
        </w:rPr>
        <w:t xml:space="preserve">HIS-131: American History I  &amp;  HIS-132: American History II  |  QM 7th Edition  |  22/22 Essential Standards  |  Spring 2026</w:t>
      </w:r>
    </w:p>
    <w:p>
      <w:pPr>
        <w:spacing w:before="60" w:after="2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pacing w:before="40" w:after="4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Both courses were designed from the ground up using QM 7th Edition standards as the architectural framework — not retrofitted. The table below documents every Essential Standard and identifies the specific course element that provides evidence. Both courses achieve </w:t>
      </w:r>
      <w:r>
        <w:rPr>
          <w:rFonts w:ascii="Calibri" w:cs="Calibri" w:eastAsia="Calibri" w:hAnsi="Calibri"/>
          <w:b/>
          <w:bCs/>
          <w:color w:val="1B5E2C"/>
          <w:sz w:val="19"/>
          <w:szCs w:val="19"/>
        </w:rPr>
        <w:t xml:space="preserve">22/22 Essential Standards</w:t>
      </w: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 and are ready for formal QM peer review.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780"/>
        <w:gridCol w:w="1200"/>
        <w:gridCol w:w="3170"/>
        <w:gridCol w:w="3770"/>
      </w:tblGrid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Gen.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Std.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General Standard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HIS-131: Evidence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HIS-132: Evidence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1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1.1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Course Overview &amp; Introduction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Welcome module with course tour, navigation guide, and getting-started checklist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Welcome module with course tour, navigation guide, and getting-started checklist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1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1.2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Course Overview &amp; Introduction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Module 1 icebreaker discussion for student self-introduction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Module 1 icebreaker discussion for student self-introduction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2.1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Learning Objectives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4 CLOs using observable verbs (Analyze, Evaluate, Apply, Communicate); Bloom's levels documented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4 CLOs using observable verbs (Analyze, Evaluate, Apply, Communicate); Bloom's levels documented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2.2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Learning Objectives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3 MLOs per module with explicit CLO crosswalk in each module header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3 MLOs per module with explicit CLO crosswalk in each module header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2.3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Learning Objectives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quizzes, DBs, and portfolio pieces mapped to specific CLOs in course map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quizzes, DBs, and portfolio pieces mapped to specific CLOs in course map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2.4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Learning Objectives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YAWP chapters and IC content aligned to MLOs; documented in module headers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YAWP chapters and IC content aligned to MLOs; documented in module headers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2.5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Learning Objectives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LA1-LA4 explicitly aligned to MLO Bloom's DOK levels in activity instructions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LA1-LA4 explicitly aligned to MLO Bloom's DOK levels in activity instructions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3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3.1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Assessment &amp; Measurement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Assessment types match Bloom's levels: auto-graded for recall; instructor-graded for analysis/synthesis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Assessment types match Bloom's levels: auto-graded for recall; instructor-graded for analysis/synthesis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3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3.2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Assessment &amp; Measurement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Rubrics provided for all instructor-graded tasks (DBs, Portfolio pieces); point breakdowns in syllabus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Rubrics provided for all instructor-graded tasks (DBs, Portfolio pieces); point breakdowns in syllabus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3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3.3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Assessment &amp; Measurement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2-attempt auto-graded LAs in every module; immediate automated feedback on all attempts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2-attempt auto-graded LAs in every module; immediate automated feedback on all attempts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4.1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Instructional Materials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Avg. 3 IC items per module; all materials free (YAWP OER + instructor-created content)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Avg. 3 IC items per module; all materials free (YAWP OER + instructor-created content)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4.2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Instructional Materials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DB and Portfolio tasks require analysis and synthesis (Bloom's 4-6) — above recall level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DB and Portfolio tasks require analysis and synthesis (Bloom's 4-6) — above recall level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4.3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Instructional Materials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tools are Canvas-native: quizzes, discussions, assignment submissions — no additional software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tools are Canvas-native: quizzes, discussions, assignment submissions — no additional software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4.4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Instructional Materials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Data analysis activities in Mods 3 &amp; 6 develop quantitative reasoning + HTS6 historical thinking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Data analysis activities in Mods 3 &amp; 6 (Progressive Era &amp; Civil Rights data sets)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5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5.1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Learner Engagement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Choice activities (LA3: Timeline OR Comparison) in every module; portfolio topic continuity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Choice activities (LA3: Timeline OR Comparison) in every module; portfolio topic continuity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5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5.2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Learner Engagement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48+ documented RSI touchpoints: portfolio feedback, DB responses, weekly announcements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48+ documented RSI touchpoints: portfolio feedback, DB responses, weekly announcements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5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5.3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Learner Engagement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4 discussion boards require substantive peer responses; discussion prompts require synthesis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4 discussion boards require substantive peer responses; discussion prompts require synthesis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5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5.4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Learner Engagement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IC + LA cycle in every module creates active student-content engagement each week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IC + LA cycle in every module creates active student-content engagement each week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6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6.1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Course Technology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Canvas only — no additional software purchase required; YAWP is free online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Canvas only — no additional software purchase required; YAWP is free online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6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6.2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Course Technology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Canvas privacy statement included in syllabus with data use explanation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Canvas privacy statement included in syllabus with data use explanation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7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7.1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Learner Support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materials checked for WCAG 2.1 AA compliance; alt text on all images; captions on videos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materials checked for WCAG 2.1 AA compliance; alt text on all images; captions on videos</w:t>
            </w:r>
          </w:p>
        </w:tc>
      </w:tr>
      <w:tr>
        <w:tc>
          <w:tcPr>
            <w:tcW w:type="dxa" w:w="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7</w:t>
            </w:r>
          </w:p>
        </w:tc>
        <w:tc>
          <w:tcPr>
            <w:tcW w:type="dxa" w:w="7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7.2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0F2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Learner Support</w:t>
            </w:r>
          </w:p>
        </w:tc>
        <w:tc>
          <w:tcPr>
            <w:tcW w:type="dxa" w:w="31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ADA accommodations statement in syllabus and Module 1 orientation; links to FTCC disability services</w:t>
            </w:r>
          </w:p>
        </w:tc>
        <w:tc>
          <w:tcPr>
            <w:tcW w:type="dxa" w:w="377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ADA accommodations statement in syllabus and Module 1 orientation; links to FTCC disability services</w:t>
            </w:r>
          </w:p>
        </w:tc>
      </w:tr>
    </w:tbl>
    <w:p>
      <w:pPr>
        <w:spacing w:before="80" w:after="2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B6CA8" w:val="clear"/>
        <w:spacing w:before="140" w:after="60"/>
      </w:pPr>
      <w:r>
        <w:rPr>
          <w:rFonts w:ascii="Calibri" w:cs="Calibri" w:eastAsia="Calibri" w:hAnsi="Calibri"/>
          <w:b/>
          <w:bCs/>
          <w:color w:val="FFFFFF"/>
          <w:sz w:val="20"/>
          <w:szCs w:val="20"/>
        </w:rPr>
        <w:t xml:space="preserve">  ASSESSMENT BALANCE  |  Strategic Auto-Grade vs. Instructor-Grade Split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400"/>
        <w:gridCol w:w="1200"/>
        <w:gridCol w:w="1400"/>
        <w:gridCol w:w="2760"/>
      </w:tblGrid>
      <w:tr>
        <w:tc>
          <w:tcPr>
            <w:tcW w:type="dxa" w:w="2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Assessment Category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Points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% of Grade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Grading Mode</w:t>
            </w:r>
          </w:p>
        </w:tc>
        <w:tc>
          <w:tcPr>
            <w:tcW w:type="dxa" w:w="2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QM &amp; Federal Compliance Note</w:t>
            </w:r>
          </w:p>
        </w:tc>
      </w:tr>
      <w:tr>
        <w:tc>
          <w:tcPr>
            <w:tcW w:type="dxa" w:w="2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Learning Activities (LA1-LA3)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480 pts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28.6%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6CA8"/>
                <w:sz w:val="17"/>
                <w:szCs w:val="17"/>
              </w:rPr>
              <w:t xml:space="preserve">AUTO</w:t>
            </w:r>
          </w:p>
        </w:tc>
        <w:tc>
          <w:tcPr>
            <w:tcW w:type="dxa" w:w="2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QM 3.3 (practice); immediate feedback satisfies formative assessment requirement</w:t>
            </w:r>
          </w:p>
        </w:tc>
      </w:tr>
      <w:tr>
        <w:tc>
          <w:tcPr>
            <w:tcW w:type="dxa" w:w="2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Data Analysis Activities (LA4)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50 pts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3.0%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6CA8"/>
                <w:sz w:val="17"/>
                <w:szCs w:val="17"/>
              </w:rPr>
              <w:t xml:space="preserve">AUTO</w:t>
            </w:r>
          </w:p>
        </w:tc>
        <w:tc>
          <w:tcPr>
            <w:tcW w:type="dxa" w:w="2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QM 4.4 (higher-order practice); quantitative reasoning development</w:t>
            </w:r>
          </w:p>
        </w:tc>
      </w:tr>
      <w:tr>
        <w:tc>
          <w:tcPr>
            <w:tcW w:type="dxa" w:w="2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Module Quizzes (8 total)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200 pts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11.9%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6CA8"/>
                <w:sz w:val="17"/>
                <w:szCs w:val="17"/>
              </w:rPr>
              <w:t xml:space="preserve">AUTO</w:t>
            </w:r>
          </w:p>
        </w:tc>
        <w:tc>
          <w:tcPr>
            <w:tcW w:type="dxa" w:w="2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QM 3.1, 3.2; factual recall + comprehension; aligned to MLOs</w:t>
            </w:r>
          </w:p>
        </w:tc>
      </w:tr>
      <w:tr>
        <w:tc>
          <w:tcPr>
            <w:tcW w:type="dxa" w:w="2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Midterm Exam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50 pts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3.0%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6CA8"/>
                <w:sz w:val="17"/>
                <w:szCs w:val="17"/>
              </w:rPr>
              <w:t xml:space="preserve">AUTO</w:t>
            </w:r>
          </w:p>
        </w:tc>
        <w:tc>
          <w:tcPr>
            <w:tcW w:type="dxa" w:w="2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QM 3.1; summative at course midpoint; covers Modules 1-4</w:t>
            </w:r>
          </w:p>
        </w:tc>
      </w:tr>
      <w:tr>
        <w:tc>
          <w:tcPr>
            <w:tcW w:type="dxa" w:w="2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Final Exam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50 pts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3.0%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6CA8"/>
                <w:sz w:val="17"/>
                <w:szCs w:val="17"/>
              </w:rPr>
              <w:t xml:space="preserve">AUTO</w:t>
            </w:r>
          </w:p>
        </w:tc>
        <w:tc>
          <w:tcPr>
            <w:tcW w:type="dxa" w:w="2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QM 3.1; summative at course end; covers Modules 5-8</w:t>
            </w:r>
          </w:p>
        </w:tc>
      </w:tr>
      <w:tr>
        <w:tc>
          <w:tcPr>
            <w:tcW w:type="dxa" w:w="2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Discussion Boards (4 total)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400 pts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23.8%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A5C1B"/>
                <w:sz w:val="17"/>
                <w:szCs w:val="17"/>
              </w:rPr>
              <w:t xml:space="preserve">INSTRUCTOR</w:t>
            </w:r>
          </w:p>
        </w:tc>
        <w:tc>
          <w:tcPr>
            <w:tcW w:type="dxa" w:w="2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QM 5.1, 5.2, 5.3; primary RSI vehicle; student-student + student-instructor interaction</w:t>
            </w:r>
          </w:p>
        </w:tc>
      </w:tr>
      <w:tr>
        <w:tc>
          <w:tcPr>
            <w:tcW w:type="dxa" w:w="2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Portfolio Pieces &amp; Checkpoints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450 pts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26.8%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A5C1B"/>
                <w:sz w:val="17"/>
                <w:szCs w:val="17"/>
              </w:rPr>
              <w:t xml:space="preserve">INSTRUCTOR</w:t>
            </w:r>
          </w:p>
        </w:tc>
        <w:tc>
          <w:tcPr>
            <w:tcW w:type="dxa" w:w="2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QM 3.1, 3.3, 5.1; scaffolded capstone; RSI via individualized written feedback</w:t>
            </w:r>
          </w:p>
        </w:tc>
      </w:tr>
      <w:tr>
        <w:tc>
          <w:tcPr>
            <w:tcW w:type="dxa" w:w="2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TOTAL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C9A84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1,680 pts</w:t>
            </w:r>
          </w:p>
        </w:tc>
        <w:tc>
          <w:tcPr>
            <w:tcW w:type="dxa" w:w="1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C9A84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8"/>
                <w:szCs w:val="18"/>
              </w:rPr>
              <w:t xml:space="preserve">100%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C9A84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6"/>
                <w:szCs w:val="16"/>
              </w:rPr>
              <w:t xml:space="preserve">49% AUTO
51% MANUAL</w:t>
            </w:r>
          </w:p>
        </w:tc>
        <w:tc>
          <w:tcPr>
            <w:tcW w:type="dxa" w:w="2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Strategic balance: auto-grading at Bloom's 1-3 enables instructor focus on RSI at Bloom's 4-6</w:t>
            </w:r>
          </w:p>
        </w:tc>
      </w:tr>
    </w:tbl>
    <w:p>
      <w:pPr>
        <w:spacing w:before="60" w:after="2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B5E2C" w:val="clear"/>
        <w:spacing w:before="140" w:after="60"/>
      </w:pPr>
      <w:r>
        <w:rPr>
          <w:rFonts w:ascii="Calibri" w:cs="Calibri" w:eastAsia="Calibri" w:hAnsi="Calibri"/>
          <w:b/>
          <w:bCs/>
          <w:color w:val="FFFFFF"/>
          <w:sz w:val="20"/>
          <w:szCs w:val="20"/>
        </w:rPr>
        <w:t xml:space="preserve">  RSI COMPLIANCE DOCUMENTATION  |  34 CFR § 600.2</w:t>
      </w:r>
    </w:p>
    <w:p>
      <w:pPr>
        <w:spacing w:before="40" w:after="40"/>
        <w:jc w:val="left"/>
      </w:pPr>
      <w:r>
        <w:rPr>
          <w:rFonts w:ascii="Calibri" w:cs="Calibri" w:eastAsia="Calibri" w:hAnsi="Calibri"/>
          <w:b/>
          <w:bCs/>
          <w:color w:val="1A3A5C"/>
          <w:sz w:val="19"/>
          <w:szCs w:val="19"/>
        </w:rPr>
        <w:t xml:space="preserve">RSI (Regular and Substantive Interaction)</w:t>
      </w: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 is a federal regulatory requirement for distance education courses (34 CFR § 600.2). It is not the same as student workload or cognitive load. RSI is specifically about </w:t>
      </w:r>
      <w:r>
        <w:rPr>
          <w:rFonts w:ascii="Calibri" w:cs="Calibri" w:eastAsia="Calibri" w:hAnsi="Calibri"/>
          <w:b/>
          <w:bCs/>
          <w:color w:val="6B1B1B"/>
          <w:sz w:val="19"/>
          <w:szCs w:val="19"/>
        </w:rPr>
        <w:t xml:space="preserve">INSTRUCTOR behavior</w:t>
      </w: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 — instructors must initiate and engage in interaction that is regular (predictable schedule), substantive (educational in nature, not administrative), and verifiable.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400"/>
        <w:gridCol w:w="1800"/>
        <w:gridCol w:w="3760"/>
      </w:tblGrid>
      <w:tr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5E2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RSI Activity Type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5E2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Frequency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5E2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Documented In</w:t>
            </w:r>
          </w:p>
        </w:tc>
        <w:tc>
          <w:tcPr>
            <w:tcW w:type="dxa" w:w="3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5E2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Regulatory Note</w:t>
            </w:r>
          </w:p>
        </w:tc>
      </w:tr>
      <w:tr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Weekly Announcements (instructor-initiated)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8 per semester (1/module)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Teaching Plan: IC section</w:t>
            </w:r>
          </w:p>
        </w:tc>
        <w:tc>
          <w:tcPr>
            <w:tcW w:type="dxa" w:w="3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Satisfies 'regular' — predictable schedule. Counts as RSI if content is educational (topic preview, context-setting).</w:t>
            </w:r>
          </w:p>
        </w:tc>
      </w:tr>
      <w:tr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Discussion Board Instructor Responses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4 per semester (each DB)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Teaching Plan: Apply section</w:t>
            </w:r>
          </w:p>
        </w:tc>
        <w:tc>
          <w:tcPr>
            <w:tcW w:type="dxa" w:w="3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Substantive feedback on student analysis. Primary RSI driver. Instructor responds to each student individually.</w:t>
            </w:r>
          </w:p>
        </w:tc>
      </w:tr>
      <w:tr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Portfolio / Milestone Feedback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4-8 per student/semester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Teaching Plan: Apply section</w:t>
            </w:r>
          </w:p>
        </w:tc>
        <w:tc>
          <w:tcPr>
            <w:tcW w:type="dxa" w:w="3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Written individualized feedback on each student's portfolio piece. Highest-quality RSI — personalized, educational, actionable.</w:t>
            </w:r>
          </w:p>
        </w:tc>
      </w:tr>
      <w:tr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Quiz / Exam Score Release Notes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8-10 per semester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Canvas Grade Comments</w:t>
            </w:r>
          </w:p>
        </w:tc>
        <w:tc>
          <w:tcPr>
            <w:tcW w:type="dxa" w:w="3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Brief but substantive notes on quiz performance. Differentiates from pure auto-grade with instructor voice.</w:t>
            </w:r>
          </w:p>
        </w:tc>
      </w:tr>
      <w:tr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Module Introduction Posts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8 per semester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Canvas Announcements</w:t>
            </w:r>
          </w:p>
        </w:tc>
        <w:tc>
          <w:tcPr>
            <w:tcW w:type="dxa" w:w="3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Instructor-initiated framing of each module's significance. Meets 'initiation' requirement.</w:t>
            </w:r>
          </w:p>
        </w:tc>
      </w:tr>
      <w:tr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Student Question Responses</w:t>
            </w:r>
          </w:p>
        </w:tc>
        <w:tc>
          <w:tcPr>
            <w:tcW w:type="dxa" w:w="1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Ad hoc (documented)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Canvas Inbox</w:t>
            </w:r>
          </w:p>
        </w:tc>
        <w:tc>
          <w:tcPr>
            <w:tcW w:type="dxa" w:w="3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substantive replies to student academic questions (not administrative) count toward RSI total.</w:t>
            </w:r>
          </w:p>
        </w:tc>
      </w:tr>
    </w:tbl>
    <w:p>
      <w:pPr>
        <w:spacing w:before="40" w:after="2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F0F2F5" w:val="clear"/>
        <w:spacing w:before="60" w:after="60"/>
      </w:pPr>
      <w:r>
        <w:rPr>
          <w:rFonts w:ascii="Calibri" w:cs="Calibri" w:eastAsia="Calibri" w:hAnsi="Calibri"/>
          <w:b w:val="false"/>
          <w:bCs w:val="false"/>
          <w:color w:val="4A5568"/>
          <w:sz w:val="16"/>
          <w:szCs w:val="16"/>
        </w:rPr>
        <w:t xml:space="preserve">  Prepared by: Angela Westmoreland, M.Ed.  |  Instructional Support &amp; Quality Assurance  |  FTCC  |  Spring 2026  |  HQCDP Certification Documentation</w:t>
      </w:r>
    </w:p>
    <w:sectPr>
      <w:headerReference w:type="default" r:id="rId6"/>
      <w:footerReference w:type="default" r:id="rId7"/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b w:val="false"/>
        <w:bCs w:val="false"/>
        <w:color w:val="4A5568"/>
        <w:sz w:val="15"/>
        <w:szCs w:val="15"/>
      </w:rPr>
      <w:t xml:space="preserve">22/22 QM Essential Standards  |  For HQCDP Certification &amp; QM Peer Review Submission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b w:val="false"/>
        <w:bCs w:val="false"/>
        <w:color w:val="4A5568"/>
        <w:sz w:val="15"/>
        <w:szCs w:val="15"/>
      </w:rPr>
      <w:t xml:space="preserve">FTCC HQCDP  |  QM Alignment Summary  |  HIS-131 &amp; HIS-132  |  Spring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*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2026-03-17T13:42:26.106Z</dcterms:created>
  <dcterms:modified xsi:type="dcterms:W3CDTF">2026-03-17T13:42:26.106Z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