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A3A5C" w:val="clear"/>
            <w:tcMar>
              <w:top w:type="dxa" w:w="160"/>
              <w:left w:type="dxa" w:w="200"/>
              <w:bottom w:type="dxa" w:w="160"/>
              <w:right w:type="dxa" w:w="200"/>
            </w:tcMar>
          </w:tcPr>
          <w:p>
            <w:pPr>
              <w:jc w:val="center"/>
            </w:pPr>
            <w:r>
              <w:rPr>
                <w:rFonts w:ascii="Calibri" w:cs="Calibri" w:eastAsia="Calibri" w:hAnsi="Calibri"/>
                <w:b/>
                <w:bCs/>
                <w:color w:val="FFFFFF"/>
                <w:sz w:val="18"/>
                <w:szCs w:val="18"/>
              </w:rPr>
              <w:t xml:space="preserve">FAYETTEVILLE TECHNICAL COMMUNITY COLLEGE</w:t>
            </w:r>
          </w:p>
          <w:p>
            <w:pPr>
              <w:spacing w:before="20" w:after="0"/>
              <w:jc w:val="center"/>
            </w:pPr>
            <w:r>
              <w:rPr>
                <w:rFonts w:ascii="Calibri" w:cs="Calibri" w:eastAsia="Calibri" w:hAnsi="Calibri"/>
                <w:b w:val="false"/>
                <w:bCs w:val="false"/>
                <w:color w:val="D5E8F0"/>
                <w:sz w:val="15"/>
                <w:szCs w:val="15"/>
              </w:rPr>
              <w:t xml:space="preserve">HIGH-QUALITY COURSE DESIGN PROGRAM  •  INSTRUCTIONAL SUPPORT &amp; QUALITY ASSURANCE</w:t>
            </w:r>
          </w:p>
        </w:tc>
      </w:tr>
    </w:tbl>
    <w:p>
      <w:pPr>
        <w:spacing w:before="120" w:after="20"/>
        <w:jc w:val="center"/>
      </w:pPr>
      <w:r>
        <w:rPr>
          <w:rFonts w:ascii="Georgia" w:cs="Georgia" w:eastAsia="Georgia" w:hAnsi="Georgia"/>
          <w:b/>
          <w:bCs/>
          <w:color w:val="1A3A5C"/>
          <w:sz w:val="36"/>
          <w:szCs w:val="36"/>
        </w:rPr>
        <w:t xml:space="preserve">Course Workload Calculation Methodology</w:t>
      </w:r>
    </w:p>
    <w:p>
      <w:pPr>
        <w:spacing w:before="0" w:after="30"/>
        <w:jc w:val="center"/>
      </w:pPr>
      <w:r>
        <w:rPr>
          <w:rFonts w:ascii="Georgia" w:cs="Georgia" w:eastAsia="Georgia" w:hAnsi="Georgia"/>
          <w:b/>
          <w:bCs/>
          <w:color w:val="2D7D9A"/>
          <w:sz w:val="22"/>
          <w:szCs w:val="22"/>
        </w:rPr>
        <w:t xml:space="preserve">How FTCC Documents Federal 135-Hour Compliance</w:t>
      </w:r>
    </w:p>
    <w:p>
      <w:pPr>
        <w:spacing w:before="0" w:after="60"/>
        <w:jc w:val="center"/>
      </w:pPr>
      <w:r>
        <w:rPr>
          <w:rFonts w:ascii="Calibri" w:cs="Calibri" w:eastAsia="Calibri" w:hAnsi="Calibri"/>
          <w:b w:val="false"/>
          <w:bCs w:val="false"/>
          <w:color w:val="64748B"/>
          <w:sz w:val="17"/>
          <w:szCs w:val="17"/>
        </w:rPr>
        <w:t xml:space="preserve">FTCC HQCDP  |  Based on CITL Methodology  |  Spring 2026</w:t>
      </w:r>
    </w:p>
    <w:p>
      <w:pPr>
        <w:pBdr>
          <w:bottom w:val="single" w:color="C9A84C" w:sz="4" w:space="1"/>
        </w:pBdr>
        <w:spacing w:before="8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6"/>
              <w:left w:val="single" w:color="C9A84C" w:sz="16"/>
              <w:bottom w:val="single" w:color="C9A84C" w:sz="2"/>
              <w:right w:val="single" w:color="C9A84C" w:sz="2"/>
            </w:tcBorders>
            <w:shd w:fill="FDF5E0" w:val="clear"/>
            <w:tcMar>
              <w:top w:type="dxa" w:w="110"/>
              <w:left w:type="dxa" w:w="170"/>
              <w:bottom w:type="dxa" w:w="110"/>
              <w:right w:type="dxa" w:w="170"/>
            </w:tcMar>
          </w:tcPr>
          <w:p>
            <w:pPr>
              <w:spacing w:before="0" w:after="35"/>
            </w:pPr>
            <w:r>
              <w:rPr>
                <w:rFonts w:ascii="Calibri" w:cs="Calibri" w:eastAsia="Calibri" w:hAnsi="Calibri"/>
                <w:b/>
                <w:bCs/>
                <w:color w:val="C9A84C"/>
                <w:sz w:val="18"/>
                <w:szCs w:val="18"/>
              </w:rPr>
              <w:t xml:space="preserve">Purpose</w:t>
            </w:r>
          </w:p>
          <w:p>
            <w:pPr>
              <w:spacing w:before="0" w:after="0"/>
            </w:pPr>
            <w:r>
              <w:rPr>
                <w:rFonts w:ascii="Calibri" w:cs="Calibri" w:eastAsia="Calibri" w:hAnsi="Calibri"/>
                <w:b w:val="false"/>
                <w:bCs w:val="false"/>
                <w:color w:val="1A1A2E"/>
                <w:sz w:val="19"/>
                <w:szCs w:val="19"/>
              </w:rPr>
              <w:t xml:space="preserve">This document explains the methodology used to calculate estimated student workload hours for HQCDP-certified courses. It provides the rate basis for each activity type, the calculation formula, the federal requirement being met, and how to apply the methodology to any course. An interactive version of this calculator is available in the FTCC course design GitHub repository.</w:t>
            </w:r>
          </w:p>
        </w:tc>
      </w:tr>
    </w:tbl>
    <w:p/>
    <w:p>
      <w:pPr>
        <w:pBdr>
          <w:bottom w:val="single" w:color="C9A84C" w:sz="5" w:space="4"/>
        </w:pBdr>
        <w:spacing w:before="220" w:after="70"/>
      </w:pPr>
      <w:r>
        <w:rPr>
          <w:rFonts w:ascii="Calibri" w:cs="Calibri" w:eastAsia="Calibri" w:hAnsi="Calibri"/>
          <w:b/>
          <w:bCs/>
          <w:color w:val="1A3A5C"/>
          <w:sz w:val="26"/>
          <w:szCs w:val="26"/>
        </w:rPr>
        <w:t xml:space="preserve">Part I: The Federal Requirement</w:t>
      </w:r>
    </w:p>
    <w:p>
      <w:pPr>
        <w:spacing w:before="50" w:after="50"/>
      </w:pPr>
      <w:r>
        <w:rPr>
          <w:rFonts w:ascii="Calibri" w:cs="Calibri" w:eastAsia="Calibri" w:hAnsi="Calibri"/>
          <w:b w:val="false"/>
          <w:bCs w:val="false"/>
          <w:color w:val="1A1A2E"/>
          <w:sz w:val="20"/>
          <w:szCs w:val="20"/>
        </w:rPr>
        <w:t xml:space="preserve">Under federal regulations governing Title IV financial aid eligibility, distance education courses must meet the same credit hour standard as face-to-face courses. For a 3-credit-hour course, this means: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Calibri" w:cs="Calibri" w:eastAsia="Calibri" w:hAnsi="Calibri"/>
                <w:b/>
                <w:bCs/>
                <w:color w:val="FFFFFF"/>
                <w:sz w:val="18"/>
                <w:szCs w:val="18"/>
              </w:rPr>
              <w:t xml:space="preserve">Standard</w:t>
            </w:r>
          </w:p>
        </w:tc>
        <w:tc>
          <w:tcPr>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Calibri" w:cs="Calibri" w:eastAsia="Calibri" w:hAnsi="Calibri"/>
                <w:b/>
                <w:bCs/>
                <w:color w:val="FFFFFF"/>
                <w:sz w:val="18"/>
                <w:szCs w:val="18"/>
              </w:rPr>
              <w:t xml:space="preserve">Requirement</w:t>
            </w:r>
          </w:p>
        </w:tc>
      </w:tr>
      <w:tr>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Federal Credit Hour Definition</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 credit hour = 1 hour of direct instruction + 2 hours of out-of-class work per week for 15 weeks</w:t>
            </w:r>
          </w:p>
        </w:tc>
      </w:tr>
      <w:tr>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3-Credit Course Target</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3 hrs/week × 15 weeks = 45 hours direct + 90 hours out-of-class = 135 total student hours</w:t>
            </w:r>
          </w:p>
        </w:tc>
      </w:tr>
      <w:tr>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Regulatory Authority</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34 CFR § 600.2 (Distance Education definition); Higher Education Act credit hour requirements</w:t>
            </w:r>
          </w:p>
        </w:tc>
      </w:tr>
      <w:tr>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Documentation Required</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Institutions must be able to demonstrate that course activities total the equivalent of 135 student hours</w:t>
            </w:r>
          </w:p>
        </w:tc>
      </w:tr>
      <w:tr>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HQCDP Standard</w:t>
            </w:r>
          </w:p>
        </w:tc>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135 hours minimum; 137.5 hours documented for HIS-131 and HIS-132</w:t>
            </w:r>
          </w:p>
        </w:tc>
      </w:tr>
    </w:tbl>
    <w:p/>
    <w:p>
      <w:pPr>
        <w:pBdr>
          <w:bottom w:val="single" w:color="C9A84C" w:sz="5" w:space="4"/>
        </w:pBdr>
        <w:spacing w:before="220" w:after="70"/>
      </w:pPr>
      <w:r>
        <w:rPr>
          <w:rFonts w:ascii="Calibri" w:cs="Calibri" w:eastAsia="Calibri" w:hAnsi="Calibri"/>
          <w:b/>
          <w:bCs/>
          <w:color w:val="1A3A5C"/>
          <w:sz w:val="26"/>
          <w:szCs w:val="26"/>
        </w:rPr>
        <w:t xml:space="preserve">Part II: Time-on-Task Rates by Activity Type</w:t>
      </w:r>
    </w:p>
    <w:p>
      <w:pPr>
        <w:spacing w:before="50" w:after="50"/>
      </w:pPr>
      <w:r>
        <w:rPr>
          <w:rFonts w:ascii="Calibri" w:cs="Calibri" w:eastAsia="Calibri" w:hAnsi="Calibri"/>
          <w:b w:val="false"/>
          <w:bCs w:val="false"/>
          <w:color w:val="1A1A2E"/>
          <w:sz w:val="20"/>
          <w:szCs w:val="20"/>
        </w:rPr>
        <w:t xml:space="preserve">All rates are derived from the Center for Innovative Teaching and Learning (CITL) time-on-task framework, adapted for FTCC's specific activity types. Rates assume an average-preparation community college student working at appropriate reading/task pace.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1200"/>
        <w:gridCol w:w="1200"/>
        <w:gridCol w:w="4360"/>
      </w:tblGrid>
      <w:tr>
        <w:tc>
          <w:tcPr>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Calibri" w:cs="Calibri" w:eastAsia="Calibri" w:hAnsi="Calibri"/>
                <w:b/>
                <w:bCs/>
                <w:color w:val="FFFFFF"/>
                <w:sz w:val="18"/>
                <w:szCs w:val="18"/>
              </w:rPr>
              <w:t xml:space="preserve">Activity Type</w:t>
            </w:r>
          </w:p>
        </w:tc>
        <w:tc>
          <w:tcPr>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Calibri" w:cs="Calibri" w:eastAsia="Calibri" w:hAnsi="Calibri"/>
                <w:b/>
                <w:bCs/>
                <w:color w:val="FFFFFF"/>
                <w:sz w:val="18"/>
                <w:szCs w:val="18"/>
              </w:rPr>
              <w:t xml:space="preserve">Rate</w:t>
            </w:r>
          </w:p>
        </w:tc>
        <w:tc>
          <w:tcPr>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Calibri" w:cs="Calibri" w:eastAsia="Calibri" w:hAnsi="Calibri"/>
                <w:b/>
                <w:bCs/>
                <w:color w:val="FFFFFF"/>
                <w:sz w:val="18"/>
                <w:szCs w:val="18"/>
              </w:rPr>
              <w:t xml:space="preserve">Per</w:t>
            </w:r>
          </w:p>
        </w:tc>
        <w:tc>
          <w:tcPr>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Calibri" w:cs="Calibri" w:eastAsia="Calibri" w:hAnsi="Calibri"/>
                <w:b/>
                <w:bCs/>
                <w:color w:val="FFFFFF"/>
                <w:sz w:val="18"/>
                <w:szCs w:val="18"/>
              </w:rPr>
              <w:t xml:space="preserve">Basis &amp; Notes</w:t>
            </w:r>
          </w:p>
        </w:tc>
      </w:tr>
      <w:tr>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IC Chunk Reading (textbook/OER)</w:t>
            </w:r>
          </w:p>
        </w:tc>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1.5 hrs</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each</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CITL: ~200 words/min academic text + note-taking overhead. Each YAWP chapter = ~8,000–12,000 words + student annotation time</w:t>
            </w:r>
          </w:p>
        </w:tc>
      </w:tr>
      <w:tr>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IC 4 Primary Source Reading</w:t>
            </w:r>
          </w:p>
        </w:tc>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0.75 hrs</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each</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Shorter documents (400–6,800 words) read analytically with annotation. Rate accounts for slower analytical reading pace</w:t>
            </w:r>
          </w:p>
        </w:tc>
      </w:tr>
      <w:tr>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Knowledge Check (5 questions)</w:t>
            </w:r>
          </w:p>
        </w:tc>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0.25 hrs</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each</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5 comprehension-level questions embedded in IC; includes reading question, selecting answer, reviewing feedback</w:t>
            </w:r>
          </w:p>
        </w:tc>
      </w:tr>
      <w:tr>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Learning Activity (LA1–LA3)</w:t>
            </w:r>
          </w:p>
        </w:tc>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0.5 hrs</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each</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Auto-graded matching/MC activity, 2 attempts. Includes first attempt, review of feedback, and second attempt if needed</w:t>
            </w:r>
          </w:p>
        </w:tc>
      </w:tr>
      <w:tr>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Data Analysis LA (LA4)</w:t>
            </w:r>
          </w:p>
        </w:tc>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0.75 hrs</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each</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Featured activity with data interpretation component; additional cognitive load from chart/data reading</w:t>
            </w:r>
          </w:p>
        </w:tc>
      </w:tr>
      <w:tr>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Module Quiz (10 questions)</w:t>
            </w:r>
          </w:p>
        </w:tc>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0.5 hrs</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each</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Higher-order, summative. Includes preparation review, quiz completion, and grade review</w:t>
            </w:r>
          </w:p>
        </w:tc>
      </w:tr>
      <w:tr>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Discussion Board</w:t>
            </w:r>
          </w:p>
        </w:tc>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2.0 hrs</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each</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450-word initial post (~45 min) + 2 × 150-word peer responses (~30 min each) + reading peer posts (~15 min)</w:t>
            </w:r>
          </w:p>
        </w:tc>
      </w:tr>
      <w:tr>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Portfolio Piece</w:t>
            </w:r>
          </w:p>
        </w:tc>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2.5 hrs</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each</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Higher-order written/visual analysis; includes planning, drafting, revising. Bloom's 4–6 task.</w:t>
            </w:r>
          </w:p>
        </w:tc>
      </w:tr>
      <w:tr>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Final Portfolio (compilation)</w:t>
            </w:r>
          </w:p>
        </w:tc>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4.0 hrs</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each</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Compiling 6 portfolio pieces, writing synthesis analysis, revising What is America? definition</w:t>
            </w:r>
          </w:p>
        </w:tc>
      </w:tr>
      <w:tr>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Midterm Exam (25 questions)</w:t>
            </w:r>
          </w:p>
        </w:tc>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1.0 hrs</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each</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Cumulative, higher-order. Includes preparation review (~20 min) and exam completion (~40 min)</w:t>
            </w:r>
          </w:p>
        </w:tc>
      </w:tr>
      <w:tr>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Final Exam (25 questions)</w:t>
            </w:r>
          </w:p>
        </w:tc>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1.5 hrs</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each</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Cumulative across second half of course; slightly longer preparation given broader scope</w:t>
            </w:r>
          </w:p>
        </w:tc>
      </w:tr>
    </w:tbl>
    <w:p/>
    <w:p>
      <w:pPr>
        <w:pBdr>
          <w:bottom w:val="single" w:color="C9A84C" w:sz="5" w:space="4"/>
        </w:pBdr>
        <w:spacing w:before="220" w:after="70"/>
      </w:pPr>
      <w:r>
        <w:rPr>
          <w:rFonts w:ascii="Calibri" w:cs="Calibri" w:eastAsia="Calibri" w:hAnsi="Calibri"/>
          <w:b/>
          <w:bCs/>
          <w:color w:val="1A3A5C"/>
          <w:sz w:val="26"/>
          <w:szCs w:val="26"/>
        </w:rPr>
        <w:t xml:space="preserve">Part III: Full Calculation — HIS-131 &amp; HIS-132</w:t>
      </w:r>
    </w:p>
    <w:p>
      <w:pPr>
        <w:spacing w:before="50" w:after="50"/>
      </w:pPr>
      <w:r>
        <w:rPr>
          <w:rFonts w:ascii="Calibri" w:cs="Calibri" w:eastAsia="Calibri" w:hAnsi="Calibri"/>
          <w:b w:val="false"/>
          <w:bCs w:val="false"/>
          <w:color w:val="1A1A2E"/>
          <w:sz w:val="20"/>
          <w:szCs w:val="20"/>
        </w:rPr>
        <w:t xml:space="preserve">The following table shows the complete per-module calculation that produces the 137.5-hour total for each course.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
        <w:gridCol w:w="700"/>
        <w:gridCol w:w="700"/>
        <w:gridCol w:w="700"/>
        <w:gridCol w:w="700"/>
        <w:gridCol w:w="700"/>
        <w:gridCol w:w="700"/>
        <w:gridCol w:w="700"/>
        <w:gridCol w:w="700"/>
        <w:gridCol w:w="2160"/>
      </w:tblGrid>
      <w:tr>
        <w:tc>
          <w:tcPr>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Calibri" w:cs="Calibri" w:eastAsia="Calibri" w:hAnsi="Calibri"/>
                <w:b/>
                <w:bCs/>
                <w:color w:val="FFFFFF"/>
                <w:sz w:val="18"/>
                <w:szCs w:val="18"/>
              </w:rPr>
              <w:t xml:space="preserve">Mod</w:t>
            </w:r>
          </w:p>
        </w:tc>
        <w:tc>
          <w:tcPr>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Calibri" w:cs="Calibri" w:eastAsia="Calibri" w:hAnsi="Calibri"/>
                <w:b/>
                <w:bCs/>
                <w:color w:val="FFFFFF"/>
                <w:sz w:val="18"/>
                <w:szCs w:val="18"/>
              </w:rPr>
              <w:t xml:space="preserve">IC</w:t>
            </w:r>
          </w:p>
        </w:tc>
        <w:tc>
          <w:tcPr>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Calibri" w:cs="Calibri" w:eastAsia="Calibri" w:hAnsi="Calibri"/>
                <w:b/>
                <w:bCs/>
                <w:color w:val="FFFFFF"/>
                <w:sz w:val="18"/>
                <w:szCs w:val="18"/>
              </w:rPr>
              <w:t xml:space="preserve">PS</w:t>
            </w:r>
          </w:p>
        </w:tc>
        <w:tc>
          <w:tcPr>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Calibri" w:cs="Calibri" w:eastAsia="Calibri" w:hAnsi="Calibri"/>
                <w:b/>
                <w:bCs/>
                <w:color w:val="FFFFFF"/>
                <w:sz w:val="18"/>
                <w:szCs w:val="18"/>
              </w:rPr>
              <w:t xml:space="preserve">KC</w:t>
            </w:r>
          </w:p>
        </w:tc>
        <w:tc>
          <w:tcPr>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Calibri" w:cs="Calibri" w:eastAsia="Calibri" w:hAnsi="Calibri"/>
                <w:b/>
                <w:bCs/>
                <w:color w:val="FFFFFF"/>
                <w:sz w:val="18"/>
                <w:szCs w:val="18"/>
              </w:rPr>
              <w:t xml:space="preserve">LA</w:t>
            </w:r>
          </w:p>
        </w:tc>
        <w:tc>
          <w:tcPr>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Calibri" w:cs="Calibri" w:eastAsia="Calibri" w:hAnsi="Calibri"/>
                <w:b/>
                <w:bCs/>
                <w:color w:val="FFFFFF"/>
                <w:sz w:val="18"/>
                <w:szCs w:val="18"/>
              </w:rPr>
              <w:t xml:space="preserve">Data</w:t>
            </w:r>
          </w:p>
        </w:tc>
        <w:tc>
          <w:tcPr>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Calibri" w:cs="Calibri" w:eastAsia="Calibri" w:hAnsi="Calibri"/>
                <w:b/>
                <w:bCs/>
                <w:color w:val="FFFFFF"/>
                <w:sz w:val="18"/>
                <w:szCs w:val="18"/>
              </w:rPr>
              <w:t xml:space="preserve">Quiz</w:t>
            </w:r>
          </w:p>
        </w:tc>
        <w:tc>
          <w:tcPr>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Calibri" w:cs="Calibri" w:eastAsia="Calibri" w:hAnsi="Calibri"/>
                <w:b/>
                <w:bCs/>
                <w:color w:val="FFFFFF"/>
                <w:sz w:val="18"/>
                <w:szCs w:val="18"/>
              </w:rPr>
              <w:t xml:space="preserve">DB</w:t>
            </w:r>
          </w:p>
        </w:tc>
        <w:tc>
          <w:tcPr>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Calibri" w:cs="Calibri" w:eastAsia="Calibri" w:hAnsi="Calibri"/>
                <w:b/>
                <w:bCs/>
                <w:color w:val="FFFFFF"/>
                <w:sz w:val="18"/>
                <w:szCs w:val="18"/>
              </w:rPr>
              <w:t xml:space="preserve">Port</w:t>
            </w:r>
          </w:p>
        </w:tc>
        <w:tc>
          <w:tcPr>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Calibri" w:cs="Calibri" w:eastAsia="Calibri" w:hAnsi="Calibri"/>
                <w:b/>
                <w:bCs/>
                <w:color w:val="FFFFFF"/>
                <w:sz w:val="18"/>
                <w:szCs w:val="18"/>
              </w:rPr>
              <w:t xml:space="preserve">Module Total</w:t>
            </w:r>
          </w:p>
        </w:tc>
      </w:tr>
      <w:tr>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3</w:t>
            </w:r>
          </w:p>
        </w:tc>
        <w:tc>
          <w:tcPr>
            <w:tcBorders>
              <w:top w:val="single" w:color="CCCCCC" w:sz="1"/>
              <w:left w:val="single" w:color="CCCCCC" w:sz="1"/>
              <w:bottom w:val="single" w:color="CCCCCC" w:sz="1"/>
              <w:right w:val="single" w:color="CCCCCC" w:sz="1"/>
            </w:tcBorders>
            <w:shd w:fill="FDF5E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3</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3</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0</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0</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10.50 hrs</w:t>
            </w:r>
          </w:p>
        </w:tc>
      </w:tr>
      <w:tr>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2</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2</w:t>
            </w:r>
          </w:p>
        </w:tc>
        <w:tc>
          <w:tcPr>
            <w:tcBorders>
              <w:top w:val="single" w:color="CCCCCC" w:sz="1"/>
              <w:left w:val="single" w:color="CCCCCC" w:sz="1"/>
              <w:bottom w:val="single" w:color="CCCCCC" w:sz="1"/>
              <w:right w:val="single" w:color="CCCCCC" w:sz="1"/>
            </w:tcBorders>
            <w:shd w:fill="FDF5E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2</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3</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0</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0</w:t>
            </w:r>
          </w:p>
        </w:tc>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8.25 hrs</w:t>
            </w:r>
          </w:p>
        </w:tc>
      </w:tr>
      <w:tr>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3</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3</w:t>
            </w:r>
          </w:p>
        </w:tc>
        <w:tc>
          <w:tcPr>
            <w:tcBorders>
              <w:top w:val="single" w:color="CCCCCC" w:sz="1"/>
              <w:left w:val="single" w:color="CCCCCC" w:sz="1"/>
              <w:bottom w:val="single" w:color="CCCCCC" w:sz="1"/>
              <w:right w:val="single" w:color="CCCCCC" w:sz="1"/>
            </w:tcBorders>
            <w:shd w:fill="FDF5E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3</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3</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0</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0</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10.50 hrs</w:t>
            </w:r>
          </w:p>
        </w:tc>
      </w:tr>
      <w:tr>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4</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2</w:t>
            </w:r>
          </w:p>
        </w:tc>
        <w:tc>
          <w:tcPr>
            <w:tcBorders>
              <w:top w:val="single" w:color="CCCCCC" w:sz="1"/>
              <w:left w:val="single" w:color="CCCCCC" w:sz="1"/>
              <w:bottom w:val="single" w:color="CCCCCC" w:sz="1"/>
              <w:right w:val="single" w:color="CCCCCC" w:sz="1"/>
            </w:tcBorders>
            <w:shd w:fill="FDF5E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2</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3</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0</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0</w:t>
            </w:r>
          </w:p>
        </w:tc>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9.25 hrs</w:t>
            </w:r>
          </w:p>
        </w:tc>
      </w:tr>
      <w:tr>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5</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2</w:t>
            </w:r>
          </w:p>
        </w:tc>
        <w:tc>
          <w:tcPr>
            <w:tcBorders>
              <w:top w:val="single" w:color="CCCCCC" w:sz="1"/>
              <w:left w:val="single" w:color="CCCCCC" w:sz="1"/>
              <w:bottom w:val="single" w:color="CCCCCC" w:sz="1"/>
              <w:right w:val="single" w:color="CCCCCC" w:sz="1"/>
            </w:tcBorders>
            <w:shd w:fill="FDF5E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2</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3</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0</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0</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8.75 hrs</w:t>
            </w:r>
          </w:p>
        </w:tc>
      </w:tr>
      <w:tr>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6</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2</w:t>
            </w:r>
          </w:p>
        </w:tc>
        <w:tc>
          <w:tcPr>
            <w:tcBorders>
              <w:top w:val="single" w:color="CCCCCC" w:sz="1"/>
              <w:left w:val="single" w:color="CCCCCC" w:sz="1"/>
              <w:bottom w:val="single" w:color="CCCCCC" w:sz="1"/>
              <w:right w:val="single" w:color="CCCCCC" w:sz="1"/>
            </w:tcBorders>
            <w:shd w:fill="FDF5E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2</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3</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0</w:t>
            </w:r>
          </w:p>
        </w:tc>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9.00 hrs</w:t>
            </w:r>
          </w:p>
        </w:tc>
      </w:tr>
      <w:tr>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7</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2</w:t>
            </w:r>
          </w:p>
        </w:tc>
        <w:tc>
          <w:tcPr>
            <w:tcBorders>
              <w:top w:val="single" w:color="CCCCCC" w:sz="1"/>
              <w:left w:val="single" w:color="CCCCCC" w:sz="1"/>
              <w:bottom w:val="single" w:color="CCCCCC" w:sz="1"/>
              <w:right w:val="single" w:color="CCCCCC" w:sz="1"/>
            </w:tcBorders>
            <w:shd w:fill="FDF5E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2</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3</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0</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0</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FP</w:t>
            </w:r>
          </w:p>
        </w:tc>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10.25 hrs</w:t>
            </w:r>
          </w:p>
        </w:tc>
      </w:tr>
      <w:tr>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8</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FDF5E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3</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0</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0</w:t>
            </w:r>
          </w:p>
        </w:tc>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8.00 hrs</w:t>
            </w:r>
          </w:p>
        </w:tc>
      </w:tr>
      <w:tr>
        <w:tc>
          <w:tcPr>
            <w:tcBorders>
              <w:top w:val="single" w:color="CCCCCC" w:sz="1"/>
              <w:left w:val="single" w:color="CCCCCC" w:sz="1"/>
              <w:bottom w:val="single" w:color="CCCCCC" w:sz="1"/>
              <w:right w:val="single" w:color="CCCCCC" w:sz="1"/>
            </w:tcBorders>
            <w:shd w:fill="FDF5E0" w:val="clear"/>
            <w:tcMar>
              <w:top w:type="dxa" w:w="80"/>
              <w:left w:type="dxa" w:w="120"/>
              <w:bottom w:type="dxa" w:w="80"/>
              <w:right w:type="dxa" w:w="120"/>
            </w:tcMar>
          </w:tcPr>
          <w:p>
            <w:r>
              <w:rPr>
                <w:rFonts w:ascii="Calibri" w:cs="Calibri" w:eastAsia="Calibri" w:hAnsi="Calibri"/>
                <w:b/>
                <w:bCs/>
                <w:color w:val="1A3A5C"/>
                <w:sz w:val="20"/>
                <w:szCs w:val="20"/>
              </w:rPr>
              <w:t xml:space="preserve">TOTAL</w:t>
            </w:r>
          </w:p>
        </w:tc>
        <w:tc>
          <w:tcPr>
            <w:tcBorders>
              <w:top w:val="single" w:color="CCCCCC" w:sz="1"/>
              <w:left w:val="single" w:color="CCCCCC" w:sz="1"/>
              <w:bottom w:val="single" w:color="CCCCCC" w:sz="1"/>
              <w:right w:val="single" w:color="CCCCCC" w:sz="1"/>
            </w:tcBorders>
            <w:shd w:fill="FDF5E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19</w:t>
            </w:r>
          </w:p>
        </w:tc>
        <w:tc>
          <w:tcPr>
            <w:tcBorders>
              <w:top w:val="single" w:color="CCCCCC" w:sz="1"/>
              <w:left w:val="single" w:color="CCCCCC" w:sz="1"/>
              <w:bottom w:val="single" w:color="CCCCCC" w:sz="1"/>
              <w:right w:val="single" w:color="CCCCCC" w:sz="1"/>
            </w:tcBorders>
            <w:shd w:fill="FDF5E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8</w:t>
            </w:r>
          </w:p>
        </w:tc>
        <w:tc>
          <w:tcPr>
            <w:tcBorders>
              <w:top w:val="single" w:color="CCCCCC" w:sz="1"/>
              <w:left w:val="single" w:color="CCCCCC" w:sz="1"/>
              <w:bottom w:val="single" w:color="CCCCCC" w:sz="1"/>
              <w:right w:val="single" w:color="CCCCCC" w:sz="1"/>
            </w:tcBorders>
            <w:shd w:fill="FDF5E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19</w:t>
            </w:r>
          </w:p>
        </w:tc>
        <w:tc>
          <w:tcPr>
            <w:tcBorders>
              <w:top w:val="single" w:color="CCCCCC" w:sz="1"/>
              <w:left w:val="single" w:color="CCCCCC" w:sz="1"/>
              <w:bottom w:val="single" w:color="CCCCCC" w:sz="1"/>
              <w:right w:val="single" w:color="CCCCCC" w:sz="1"/>
            </w:tcBorders>
            <w:shd w:fill="FDF5E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24</w:t>
            </w:r>
          </w:p>
        </w:tc>
        <w:tc>
          <w:tcPr>
            <w:tcBorders>
              <w:top w:val="single" w:color="CCCCCC" w:sz="1"/>
              <w:left w:val="single" w:color="CCCCCC" w:sz="1"/>
              <w:bottom w:val="single" w:color="CCCCCC" w:sz="1"/>
              <w:right w:val="single" w:color="CCCCCC" w:sz="1"/>
            </w:tcBorders>
            <w:shd w:fill="FDF5E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w:t>
            </w:r>
          </w:p>
        </w:tc>
        <w:tc>
          <w:tcPr>
            <w:tcBorders>
              <w:top w:val="single" w:color="CCCCCC" w:sz="1"/>
              <w:left w:val="single" w:color="CCCCCC" w:sz="1"/>
              <w:bottom w:val="single" w:color="CCCCCC" w:sz="1"/>
              <w:right w:val="single" w:color="CCCCCC" w:sz="1"/>
            </w:tcBorders>
            <w:shd w:fill="FDF5E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8</w:t>
            </w:r>
          </w:p>
        </w:tc>
        <w:tc>
          <w:tcPr>
            <w:tcBorders>
              <w:top w:val="single" w:color="CCCCCC" w:sz="1"/>
              <w:left w:val="single" w:color="CCCCCC" w:sz="1"/>
              <w:bottom w:val="single" w:color="CCCCCC" w:sz="1"/>
              <w:right w:val="single" w:color="CCCCCC" w:sz="1"/>
            </w:tcBorders>
            <w:shd w:fill="FDF5E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4</w:t>
            </w:r>
          </w:p>
        </w:tc>
        <w:tc>
          <w:tcPr>
            <w:tcBorders>
              <w:top w:val="single" w:color="CCCCCC" w:sz="1"/>
              <w:left w:val="single" w:color="CCCCCC" w:sz="1"/>
              <w:bottom w:val="single" w:color="CCCCCC" w:sz="1"/>
              <w:right w:val="single" w:color="CCCCCC" w:sz="1"/>
            </w:tcBorders>
            <w:shd w:fill="FDF5E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FP+3</w:t>
            </w:r>
          </w:p>
        </w:tc>
        <w:tc>
          <w:tcPr>
            <w:tcBorders>
              <w:top w:val="single" w:color="CCCCCC" w:sz="1"/>
              <w:left w:val="single" w:color="CCCCCC" w:sz="1"/>
              <w:bottom w:val="single" w:color="CCCCCC" w:sz="1"/>
              <w:right w:val="single" w:color="CCCCCC" w:sz="1"/>
            </w:tcBorders>
            <w:shd w:fill="FDF5E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137.5 hrs</w:t>
            </w:r>
          </w:p>
        </w:tc>
      </w:tr>
    </w:tbl>
    <w:p/>
    <w:p>
      <w:pPr>
        <w:pBdr>
          <w:bottom w:val="single" w:color="C9A84C" w:sz="5" w:space="4"/>
        </w:pBdr>
        <w:spacing w:before="220" w:after="70"/>
      </w:pPr>
      <w:r>
        <w:rPr>
          <w:rFonts w:ascii="Calibri" w:cs="Calibri" w:eastAsia="Calibri" w:hAnsi="Calibri"/>
          <w:b/>
          <w:bCs/>
          <w:color w:val="1A3A5C"/>
          <w:sz w:val="26"/>
          <w:szCs w:val="26"/>
        </w:rPr>
        <w:t xml:space="preserve">Part IV: Using the Interactive Calculator</w:t>
      </w:r>
    </w:p>
    <w:p>
      <w:pPr>
        <w:spacing w:before="50" w:after="50"/>
      </w:pPr>
      <w:r>
        <w:rPr>
          <w:rFonts w:ascii="Calibri" w:cs="Calibri" w:eastAsia="Calibri" w:hAnsi="Calibri"/>
          <w:b w:val="false"/>
          <w:bCs w:val="false"/>
          <w:color w:val="1A1A2E"/>
          <w:sz w:val="20"/>
          <w:szCs w:val="20"/>
        </w:rPr>
        <w:t xml:space="preserve">The FTCC Course Workload Calculator (available in the HQCDP GitHub repository) allows instructional designers and faculty to input their own activity counts and see live compliance calculations. Key features:</w:t>
      </w:r>
    </w:p>
    <w:p/>
    <w:p>
      <w:pPr>
        <w:pStyle w:val="ListParagraph"/>
        <w:numPr>
          <w:ilvl w:val="0"/>
          <w:numId w:val="2"/>
        </w:numPr>
        <w:spacing w:before="22" w:after="22"/>
      </w:pPr>
      <w:r>
        <w:rPr>
          <w:rFonts w:ascii="Calibri" w:cs="Calibri" w:eastAsia="Calibri" w:hAnsi="Calibri"/>
          <w:b w:val="false"/>
          <w:bCs w:val="false"/>
          <w:color w:val="1A1A2E"/>
          <w:sz w:val="20"/>
          <w:szCs w:val="20"/>
        </w:rPr>
        <w:t xml:space="preserve">All CITL rates are editable — adjust for your course's specific activity design</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Per-module breakdown shows where hours are concentrated and where gaps exist</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Live compliance gauge shows progress toward 135-hour target</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"Generate Report" produces a print-ready compliance exhibit for certification documentation</w:t>
      </w:r>
    </w:p>
    <w:p>
      <w:pPr>
        <w:pStyle w:val="ListParagraph"/>
        <w:numPr>
          <w:ilvl w:val="0"/>
          <w:numId w:val="2"/>
        </w:numPr>
        <w:spacing w:before="22" w:after="22"/>
      </w:pPr>
      <w:r>
        <w:rPr>
          <w:rFonts w:ascii="Calibri" w:cs="Calibri" w:eastAsia="Calibri" w:hAnsi="Calibri"/>
          <w:b w:val="false"/>
          <w:bCs w:val="false"/>
          <w:color w:val="1A1A2E"/>
          <w:sz w:val="20"/>
          <w:szCs w:val="20"/>
        </w:rPr>
        <w:t xml:space="preserve">Pre-loaded with HIS-131 and HIS-132 configurations as reference examples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D7D9A" w:sz="6"/>
              <w:left w:val="single" w:color="2D7D9A" w:sz="16"/>
              <w:bottom w:val="single" w:color="2D7D9A" w:sz="2"/>
              <w:right w:val="single" w:color="2D7D9A" w:sz="2"/>
            </w:tcBorders>
            <w:shd w:fill="D5E8F0" w:val="clear"/>
            <w:tcMar>
              <w:top w:type="dxa" w:w="110"/>
              <w:left w:type="dxa" w:w="170"/>
              <w:bottom w:type="dxa" w:w="110"/>
              <w:right w:type="dxa" w:w="170"/>
            </w:tcMar>
          </w:tcPr>
          <w:p>
            <w:pPr>
              <w:spacing w:before="0" w:after="35"/>
            </w:pPr>
            <w:r>
              <w:rPr>
                <w:rFonts w:ascii="Calibri" w:cs="Calibri" w:eastAsia="Calibri" w:hAnsi="Calibri"/>
                <w:b/>
                <w:bCs/>
                <w:color w:val="2D7D9A"/>
                <w:sz w:val="18"/>
                <w:szCs w:val="18"/>
              </w:rPr>
              <w:t xml:space="preserve">Adjusting Rates for Your Course</w:t>
            </w:r>
          </w:p>
          <w:p>
            <w:pPr>
              <w:spacing w:before="0" w:after="0"/>
            </w:pPr>
            <w:r>
              <w:rPr>
                <w:rFonts w:ascii="Calibri" w:cs="Calibri" w:eastAsia="Calibri" w:hAnsi="Calibri"/>
                <w:b w:val="false"/>
                <w:bCs w:val="false"/>
                <w:color w:val="1A1A2E"/>
                <w:sz w:val="19"/>
                <w:szCs w:val="19"/>
              </w:rPr>
              <w:t xml:space="preserve">If your course uses significantly longer or shorter readings than YAWP chapters, adjust the IC chunk rate accordingly. A nursing pharmacology textbook chapter may take 2.0–2.5 hrs; a business case study may take 1.0 hrs. The rate basis (CITL methodology) remains consistent — only the input values change.</w:t>
            </w:r>
          </w:p>
        </w:tc>
      </w:tr>
    </w:tbl>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bullet"/>
      <w:lvlText w:val="◦"/>
      <w:lvlJc w:val="left"/>
      <w:pPr>
        <w:ind w:left="1080" w:hanging="360"/>
      </w:pPr>
    </w:lvl>
  </w:abstractNum>
  <w:abstractNum w:abstractNumId="5" w15:restartNumberingAfterBreak="0">
    <w:multiLevelType w:val="hybridMultilevel"/>
    <w:lvl w:ilvl="0" w15:tentative="1">
      <w:start w:val="1"/>
      <w:numFmt w:val="decimal"/>
      <w:lvlText w:val="%1."/>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2026-03-17T16:11:59.296Z</dcterms:created>
  <dcterms:modified xsi:type="dcterms:W3CDTF">2026-03-17T16:11:59.296Z</dcterms:modified>
</cp:coreProperties>
</file>

<file path=docProps/custom.xml><?xml version="1.0" encoding="utf-8"?>
<Properties xmlns="http://schemas.openxmlformats.org/officeDocument/2006/custom-properties" xmlns:vt="http://schemas.openxmlformats.org/officeDocument/2006/docPropsVTypes"/>
</file>