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A3A5C" w:val="clear"/>
            <w:tcMar>
              <w:top w:type="dxa" w:w="160"/>
              <w:left w:type="dxa" w:w="200"/>
              <w:bottom w:type="dxa" w:w="160"/>
              <w:right w:type="dxa" w:w="20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FAYETTEVILLE TECHNICAL COMMUNITY COLLEGE</w:t>
            </w:r>
          </w:p>
          <w:p>
            <w:pPr>
              <w:spacing w:before="20"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D5E8F0"/>
                <w:sz w:val="15"/>
                <w:szCs w:val="15"/>
              </w:rPr>
              <w:t xml:space="preserve">HIGH-QUALITY COURSE DESIGN PROGRAM  •  INSTRUCTIONAL SUPPORT &amp; QUALITY ASSURANCE</w:t>
            </w:r>
          </w:p>
        </w:tc>
      </w:tr>
    </w:tbl>
    <w:p>
      <w:pPr>
        <w:spacing w:before="120" w:after="20"/>
        <w:jc w:val="center"/>
      </w:pPr>
      <w:r>
        <w:rPr>
          <w:rFonts w:ascii="Georgia" w:cs="Georgia" w:eastAsia="Georgia" w:hAnsi="Georgia"/>
          <w:b/>
          <w:bCs/>
          <w:color w:val="1A3A5C"/>
          <w:sz w:val="36"/>
          <w:szCs w:val="36"/>
        </w:rPr>
        <w:t xml:space="preserve">How Long Does Quality Course Design Actually Take?</w:t>
      </w:r>
    </w:p>
    <w:p>
      <w:pPr>
        <w:spacing w:before="0" w:after="30"/>
        <w:jc w:val="center"/>
      </w:pPr>
      <w:r>
        <w:rPr>
          <w:rFonts w:ascii="Georgia" w:cs="Georgia" w:eastAsia="Georgia" w:hAnsi="Georgia"/>
          <w:b/>
          <w:bCs/>
          <w:color w:val="2D7D9A"/>
          <w:sz w:val="22"/>
          <w:szCs w:val="22"/>
        </w:rPr>
        <w:t xml:space="preserve">A Data-Informed Estimate for Administration &amp; Resource Planning</w:t>
      </w:r>
    </w:p>
    <w:p>
      <w:pPr>
        <w:spacing w:before="0" w:after="60"/>
        <w:jc w:val="center"/>
      </w:pPr>
      <w:r>
        <w:rPr>
          <w:rFonts w:ascii="Calibri" w:cs="Calibri" w:eastAsia="Calibri" w:hAnsi="Calibri"/>
          <w:b w:val="false"/>
          <w:bCs w:val="false"/>
          <w:color w:val="64748B"/>
          <w:sz w:val="17"/>
          <w:szCs w:val="17"/>
        </w:rPr>
        <w:t xml:space="preserve">Angela Westmoreland, M.Ed.  |  FTCC HQCDP  |  Spring 2026</w:t>
      </w:r>
    </w:p>
    <w:p>
      <w:pPr>
        <w:pBdr>
          <w:bottom w:val="single" w:color="C9A84C" w:sz="4" w:space="1"/>
        </w:pBdr>
        <w:spacing w:before="80" w:after="8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single" w:color="C9A84C" w:sz="6"/>
              <w:left w:val="single" w:color="C9A84C" w:sz="16"/>
              <w:bottom w:val="single" w:color="C9A84C" w:sz="2"/>
              <w:right w:val="single" w:color="C9A84C" w:sz="2"/>
            </w:tcBorders>
            <w:shd w:fill="FDF5E0" w:val="clear"/>
            <w:tcMar>
              <w:top w:type="dxa" w:w="110"/>
              <w:left w:type="dxa" w:w="170"/>
              <w:bottom w:type="dxa" w:w="110"/>
              <w:right w:type="dxa" w:w="170"/>
            </w:tcMar>
          </w:tcPr>
          <w:p>
            <w:pPr>
              <w:spacing w:before="0" w:after="35"/>
            </w:pPr>
            <w:r>
              <w:rPr>
                <w:rFonts w:ascii="Calibri" w:cs="Calibri" w:eastAsia="Calibri" w:hAnsi="Calibri"/>
                <w:b/>
                <w:bCs/>
                <w:color w:val="C9A84C"/>
                <w:sz w:val="18"/>
                <w:szCs w:val="18"/>
              </w:rPr>
              <w:t xml:space="preserve">Why This Document Exists</w:t>
            </w:r>
          </w:p>
          <w:p>
            <w:pPr>
              <w:spacing w:before="0" w:after="0"/>
            </w:pPr>
            <w:r>
              <w:rPr>
                <w:rFonts w:ascii="Calibri" w:cs="Calibri" w:eastAsia="Calibri" w:hAnsi="Calibri"/>
                <w:b w:val="false"/>
                <w:bCs w:val="false"/>
                <w:color w:val="1A1A2E"/>
                <w:sz w:val="19"/>
                <w:szCs w:val="19"/>
              </w:rPr>
              <w:t xml:space="preserve">Quality online course design is invisible when it is done well — administrators see a finished Canvas shell, not the weeks of work behind it. This document provides concrete, evidence-based time estimates for every stage of building a QM-aligned, RSI-compliant, HQCDP-certified course. It is intended to inform decisions about faculty release time, course development contracts, and instructional design staffing.</w:t>
            </w:r>
          </w:p>
        </w:tc>
      </w:tr>
    </w:tbl>
    <w:p/>
    <w:p>
      <w:pPr>
        <w:pBdr>
          <w:bottom w:val="single" w:color="C9A84C" w:sz="5" w:space="4"/>
        </w:pBdr>
        <w:spacing w:before="220" w:after="70"/>
      </w:pPr>
      <w:r>
        <w:rPr>
          <w:rFonts w:ascii="Calibri" w:cs="Calibri" w:eastAsia="Calibri" w:hAnsi="Calibri"/>
          <w:b/>
          <w:bCs/>
          <w:color w:val="1A3A5C"/>
          <w:sz w:val="26"/>
          <w:szCs w:val="26"/>
        </w:rPr>
        <w:t xml:space="preserve">Part I: The Honest Numbers</w:t>
      </w:r>
    </w:p>
    <w:p>
      <w:pPr>
        <w:spacing w:before="50" w:after="50"/>
      </w:pPr>
      <w:r>
        <w:rPr>
          <w:rFonts w:ascii="Calibri" w:cs="Calibri" w:eastAsia="Calibri" w:hAnsi="Calibri"/>
          <w:b w:val="false"/>
          <w:bCs w:val="false"/>
          <w:color w:val="1A1A2E"/>
          <w:sz w:val="20"/>
          <w:szCs w:val="20"/>
        </w:rPr>
        <w:t xml:space="preserve">The following estimates are based on actual time tracked during the development of HIS-131 and HIS-132 as HQCDP exemplar courses. They reflect the work of an experienced instructional designer with 20+ years of experience and four QM certifications — not a faculty member building their first online course.</w:t>
      </w:r>
    </w:p>
    <w:p/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single" w:color="2D7D9A" w:sz="6"/>
              <w:left w:val="single" w:color="2D7D9A" w:sz="16"/>
              <w:bottom w:val="single" w:color="2D7D9A" w:sz="2"/>
              <w:right w:val="single" w:color="2D7D9A" w:sz="2"/>
            </w:tcBorders>
            <w:shd w:fill="D5E8F0" w:val="clear"/>
            <w:tcMar>
              <w:top w:type="dxa" w:w="110"/>
              <w:left w:type="dxa" w:w="170"/>
              <w:bottom w:type="dxa" w:w="110"/>
              <w:right w:type="dxa" w:w="170"/>
            </w:tcMar>
          </w:tcPr>
          <w:p>
            <w:pPr>
              <w:spacing w:before="0" w:after="35"/>
            </w:pPr>
            <w:r>
              <w:rPr>
                <w:rFonts w:ascii="Calibri" w:cs="Calibri" w:eastAsia="Calibri" w:hAnsi="Calibri"/>
                <w:b/>
                <w:bCs/>
                <w:color w:val="2D7D9A"/>
                <w:sz w:val="18"/>
                <w:szCs w:val="18"/>
              </w:rPr>
              <w:t xml:space="preserve">Important Caveat</w:t>
            </w:r>
          </w:p>
          <w:p>
            <w:pPr>
              <w:spacing w:before="0" w:after="0"/>
            </w:pPr>
            <w:r>
              <w:rPr>
                <w:rFonts w:ascii="Calibri" w:cs="Calibri" w:eastAsia="Calibri" w:hAnsi="Calibri"/>
                <w:b w:val="false"/>
                <w:bCs w:val="false"/>
                <w:color w:val="1A1A2E"/>
                <w:sz w:val="19"/>
                <w:szCs w:val="19"/>
              </w:rPr>
              <w:t xml:space="preserve">These are expert-level estimates. A faculty member building their first QM-aligned course without dedicated instructional design support should expect 1.5–2× these figures. A faculty member building with full instructional design partnership may come in at or below these numbers.</w:t>
            </w:r>
          </w:p>
        </w:tc>
      </w:tr>
    </w:tbl>
    <w:p/>
    <w:p>
      <w:pPr>
        <w:spacing w:before="160" w:after="40"/>
      </w:pPr>
      <w:r>
        <w:rPr>
          <w:rFonts w:ascii="Calibri" w:cs="Calibri" w:eastAsia="Calibri" w:hAnsi="Calibri"/>
          <w:b/>
          <w:bCs/>
          <w:color w:val="2D7D9A"/>
          <w:sz w:val="22"/>
          <w:szCs w:val="22"/>
        </w:rPr>
        <w:t xml:space="preserve">Phase-by-Phase Time Breakdown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800"/>
        <w:gridCol w:w="1400"/>
        <w:gridCol w:w="5160"/>
      </w:tblGrid>
      <w:tr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A3A5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Phase / Task</w:t>
            </w:r>
          </w:p>
        </w:tc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A3A5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Est. Hours</w:t>
            </w:r>
          </w:p>
        </w:tc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A3A5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What This Involves</w:t>
            </w:r>
          </w:p>
        </w:tc>
      </w:tr>
      <w:tr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7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A1A2E"/>
                <w:sz w:val="19"/>
                <w:szCs w:val="19"/>
              </w:rPr>
              <w:t xml:space="preserve">Course architecture &amp; CLO mapping</w:t>
            </w:r>
          </w:p>
        </w:tc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8F5E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A1A2E"/>
                <w:sz w:val="19"/>
                <w:szCs w:val="19"/>
              </w:rPr>
              <w:t xml:space="preserve">8–12 hrs</w:t>
            </w:r>
          </w:p>
        </w:tc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7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A1A2E"/>
                <w:sz w:val="19"/>
                <w:szCs w:val="19"/>
              </w:rPr>
              <w:t xml:space="preserve">Mapping NCCCS outcomes to CLOs, verifying Bloom's levels, designing the 8-module inquiry framework, establishing the milestone pattern</w:t>
            </w:r>
          </w:p>
        </w:tc>
      </w:tr>
      <w:tr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A1A2E"/>
                <w:sz w:val="19"/>
                <w:szCs w:val="19"/>
              </w:rPr>
              <w:t xml:space="preserve">Module-level MLO development (×8)</w:t>
            </w:r>
          </w:p>
        </w:tc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8F5E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A1A2E"/>
                <w:sz w:val="19"/>
                <w:szCs w:val="19"/>
              </w:rPr>
              <w:t xml:space="preserve">12–16 hrs</w:t>
            </w:r>
          </w:p>
        </w:tc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A1A2E"/>
                <w:sz w:val="19"/>
                <w:szCs w:val="19"/>
              </w:rPr>
              <w:t xml:space="preserve">Writing 3 MLOs per module, crosswalking each to CLOs, verifying Bloom's alignment at module level</w:t>
            </w:r>
          </w:p>
        </w:tc>
      </w:tr>
      <w:tr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7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A1A2E"/>
                <w:sz w:val="19"/>
                <w:szCs w:val="19"/>
              </w:rPr>
              <w:t xml:space="preserve">Instructional content planning (IC 1–3)</w:t>
            </w:r>
          </w:p>
        </w:tc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8F5E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A1A2E"/>
                <w:sz w:val="19"/>
                <w:szCs w:val="19"/>
              </w:rPr>
              <w:t xml:space="preserve">8–10 hrs</w:t>
            </w:r>
          </w:p>
        </w:tc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7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A1A2E"/>
                <w:sz w:val="19"/>
                <w:szCs w:val="19"/>
              </w:rPr>
              <w:t xml:space="preserve">Selecting OER chapters, identifying key concepts per chunk, writing IC descriptions for course map</w:t>
            </w:r>
          </w:p>
        </w:tc>
      </w:tr>
      <w:tr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A1A2E"/>
                <w:sz w:val="19"/>
                <w:szCs w:val="19"/>
              </w:rPr>
              <w:t xml:space="preserve">Primary source research &amp; curation (IC 4, ×8)</w:t>
            </w:r>
          </w:p>
        </w:tc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8F5E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A1A2E"/>
                <w:sz w:val="19"/>
                <w:szCs w:val="19"/>
              </w:rPr>
              <w:t xml:space="preserve">10–14 hrs</w:t>
            </w:r>
          </w:p>
        </w:tc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A1A2E"/>
                <w:sz w:val="19"/>
                <w:szCs w:val="19"/>
              </w:rPr>
              <w:t xml:space="preserve">Researching, evaluating, and selecting 8 primary sources; verifying free access, word count, pedagogical fit, and URL stability</w:t>
            </w:r>
          </w:p>
        </w:tc>
      </w:tr>
      <w:tr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7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A1A2E"/>
                <w:sz w:val="19"/>
                <w:szCs w:val="19"/>
              </w:rPr>
              <w:t xml:space="preserve">Learning activity design (LA1–LA4, ×8)</w:t>
            </w:r>
          </w:p>
        </w:tc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8F5E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A1A2E"/>
                <w:sz w:val="19"/>
                <w:szCs w:val="19"/>
              </w:rPr>
              <w:t xml:space="preserve">16–20 hrs</w:t>
            </w:r>
          </w:p>
        </w:tc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7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A1A2E"/>
                <w:sz w:val="19"/>
                <w:szCs w:val="19"/>
              </w:rPr>
              <w:t xml:space="preserve">Designing all LA types per module, writing item stems, building Canvas New Quizzes structures, verifying auto-gradability</w:t>
            </w:r>
          </w:p>
        </w:tc>
      </w:tr>
      <w:tr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A1A2E"/>
                <w:sz w:val="19"/>
                <w:szCs w:val="19"/>
              </w:rPr>
              <w:t xml:space="preserve">Assessment design &amp; rubric writing</w:t>
            </w:r>
          </w:p>
        </w:tc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8F5E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A1A2E"/>
                <w:sz w:val="19"/>
                <w:szCs w:val="19"/>
              </w:rPr>
              <w:t xml:space="preserve">10–14 hrs</w:t>
            </w:r>
          </w:p>
        </w:tc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A1A2E"/>
                <w:sz w:val="19"/>
                <w:szCs w:val="19"/>
              </w:rPr>
              <w:t xml:space="preserve">Writing DB prompts, portfolio piece instructions, quiz questions, midterm/final, and all associated rubrics</w:t>
            </w:r>
          </w:p>
        </w:tc>
      </w:tr>
      <w:tr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7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A1A2E"/>
                <w:sz w:val="19"/>
                <w:szCs w:val="19"/>
              </w:rPr>
              <w:t xml:space="preserve">Course map production</w:t>
            </w:r>
          </w:p>
        </w:tc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8F5E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A1A2E"/>
                <w:sz w:val="19"/>
                <w:szCs w:val="19"/>
              </w:rPr>
              <w:t xml:space="preserve">8–10 hrs</w:t>
            </w:r>
          </w:p>
        </w:tc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7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A1A2E"/>
                <w:sz w:val="19"/>
                <w:szCs w:val="19"/>
              </w:rPr>
              <w:t xml:space="preserve">Completing the official FTCC course map template with all alignment documentation, workload calculations, and QM verification</w:t>
            </w:r>
          </w:p>
        </w:tc>
      </w:tr>
      <w:tr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A1A2E"/>
                <w:sz w:val="19"/>
                <w:szCs w:val="19"/>
              </w:rPr>
              <w:t xml:space="preserve">Teaching plan production</w:t>
            </w:r>
          </w:p>
        </w:tc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8F5E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A1A2E"/>
                <w:sz w:val="19"/>
                <w:szCs w:val="19"/>
              </w:rPr>
              <w:t xml:space="preserve">6–8 hrs</w:t>
            </w:r>
          </w:p>
        </w:tc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A1A2E"/>
                <w:sz w:val="19"/>
                <w:szCs w:val="19"/>
              </w:rPr>
              <w:t xml:space="preserve">Writing full student-facing teaching plan with module guides, design justifications, and IC 4 documentation</w:t>
            </w:r>
          </w:p>
        </w:tc>
      </w:tr>
      <w:tr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7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A1A2E"/>
                <w:sz w:val="19"/>
                <w:szCs w:val="19"/>
              </w:rPr>
              <w:t xml:space="preserve">Workload calculation &amp; compliance documentation</w:t>
            </w:r>
          </w:p>
        </w:tc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8F5E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A1A2E"/>
                <w:sz w:val="19"/>
                <w:szCs w:val="19"/>
              </w:rPr>
              <w:t xml:space="preserve">4–6 hrs</w:t>
            </w:r>
          </w:p>
        </w:tc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7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A1A2E"/>
                <w:sz w:val="19"/>
                <w:szCs w:val="19"/>
              </w:rPr>
              <w:t xml:space="preserve">Calculating student hours using CITL methodology, verifying 135-hr compliance, documenting RSI touchpoints</w:t>
            </w:r>
          </w:p>
        </w:tc>
      </w:tr>
      <w:tr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A1A2E"/>
                <w:sz w:val="19"/>
                <w:szCs w:val="19"/>
              </w:rPr>
              <w:t xml:space="preserve">Canvas shell build &amp; QM review</w:t>
            </w:r>
          </w:p>
        </w:tc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8F5E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A1A2E"/>
                <w:sz w:val="19"/>
                <w:szCs w:val="19"/>
              </w:rPr>
              <w:t xml:space="preserve">12–18 hrs</w:t>
            </w:r>
          </w:p>
        </w:tc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A1A2E"/>
                <w:sz w:val="19"/>
                <w:szCs w:val="19"/>
              </w:rPr>
              <w:t xml:space="preserve">Building all module pages, uploading activities, configuring gradebook, conducting QM self-review, revising</w:t>
            </w:r>
          </w:p>
        </w:tc>
      </w:tr>
      <w:tr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7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A1A2E"/>
                <w:sz w:val="19"/>
                <w:szCs w:val="19"/>
              </w:rPr>
              <w:t xml:space="preserve">Quality review &amp; revision cycles</w:t>
            </w:r>
          </w:p>
        </w:tc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8F5E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A1A2E"/>
                <w:sz w:val="19"/>
                <w:szCs w:val="19"/>
              </w:rPr>
              <w:t xml:space="preserve">8–12 hrs</w:t>
            </w:r>
          </w:p>
        </w:tc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7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A1A2E"/>
                <w:sz w:val="19"/>
                <w:szCs w:val="19"/>
              </w:rPr>
              <w:t xml:space="preserve">Peer review, revision, alignment check, accessibility review, final certification submission</w:t>
            </w:r>
          </w:p>
        </w:tc>
      </w:tr>
      <w:tr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DF5E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A3A5C"/>
                <w:sz w:val="20"/>
                <w:szCs w:val="20"/>
              </w:rPr>
              <w:t xml:space="preserve">TOTAL — Expert Designer</w:t>
            </w:r>
          </w:p>
        </w:tc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DF5E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B5E20"/>
                <w:sz w:val="20"/>
                <w:szCs w:val="20"/>
              </w:rPr>
              <w:t xml:space="preserve">102–140 hrs</w:t>
            </w:r>
          </w:p>
        </w:tc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DF5E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A3A5C"/>
                <w:sz w:val="19"/>
                <w:szCs w:val="19"/>
              </w:rPr>
              <w:t xml:space="preserve">Approximately 13–18 working days of dedicated course design time</w:t>
            </w:r>
          </w:p>
        </w:tc>
      </w:tr>
    </w:tbl>
    <w:p/>
    <w:p>
      <w:pPr>
        <w:pBdr>
          <w:bottom w:val="single" w:color="C9A84C" w:sz="5" w:space="4"/>
        </w:pBdr>
        <w:spacing w:before="220" w:after="70"/>
      </w:pPr>
      <w:r>
        <w:rPr>
          <w:rFonts w:ascii="Calibri" w:cs="Calibri" w:eastAsia="Calibri" w:hAnsi="Calibri"/>
          <w:b/>
          <w:bCs/>
          <w:color w:val="1A3A5C"/>
          <w:sz w:val="26"/>
          <w:szCs w:val="26"/>
        </w:rPr>
        <w:t xml:space="preserve">Part II: What This Means in Practice</w:t>
      </w:r>
    </w:p>
    <w:p>
      <w:pPr>
        <w:spacing w:before="160" w:after="40"/>
      </w:pPr>
      <w:r>
        <w:rPr>
          <w:rFonts w:ascii="Calibri" w:cs="Calibri" w:eastAsia="Calibri" w:hAnsi="Calibri"/>
          <w:b/>
          <w:bCs/>
          <w:color w:val="2D7D9A"/>
          <w:sz w:val="22"/>
          <w:szCs w:val="22"/>
        </w:rPr>
        <w:t xml:space="preserve">For a faculty member without instructional design support:</w:t>
      </w:r>
    </w:p>
    <w:p>
      <w:pPr>
        <w:pStyle w:val="ListParagraph"/>
        <w:numPr>
          <w:ilvl w:val="0"/>
          <w:numId w:val="2"/>
        </w:numPr>
        <w:spacing w:before="22" w:after="22"/>
      </w:pPr>
      <w:r>
        <w:rPr>
          <w:rFonts w:ascii="Calibri" w:cs="Calibri" w:eastAsia="Calibri" w:hAnsi="Calibri"/>
          <w:b w:val="false"/>
          <w:bCs w:val="false"/>
          <w:color w:val="1A1A2E"/>
          <w:sz w:val="20"/>
          <w:szCs w:val="20"/>
        </w:rPr>
        <w:t xml:space="preserve">Estimated range: 150–220 hours for a first QM-aligned course build</w:t>
      </w:r>
    </w:p>
    <w:p>
      <w:pPr>
        <w:pStyle w:val="ListParagraph"/>
        <w:numPr>
          <w:ilvl w:val="0"/>
          <w:numId w:val="2"/>
        </w:numPr>
        <w:spacing w:before="22" w:after="22"/>
      </w:pPr>
      <w:r>
        <w:rPr>
          <w:rFonts w:ascii="Calibri" w:cs="Calibri" w:eastAsia="Calibri" w:hAnsi="Calibri"/>
          <w:b w:val="false"/>
          <w:bCs w:val="false"/>
          <w:color w:val="1A1A2E"/>
          <w:sz w:val="20"/>
          <w:szCs w:val="20"/>
        </w:rPr>
        <w:t xml:space="preserve">This is 4–6 weeks of full-time work — on top of teaching, service, and other obligations</w:t>
      </w:r>
    </w:p>
    <w:p>
      <w:pPr>
        <w:pStyle w:val="ListParagraph"/>
        <w:numPr>
          <w:ilvl w:val="0"/>
          <w:numId w:val="2"/>
        </w:numPr>
        <w:spacing w:before="22" w:after="22"/>
      </w:pPr>
      <w:r>
        <w:rPr>
          <w:rFonts w:ascii="Calibri" w:cs="Calibri" w:eastAsia="Calibri" w:hAnsi="Calibri"/>
          <w:b w:val="false"/>
          <w:bCs w:val="false"/>
          <w:color w:val="1A1A2E"/>
          <w:sz w:val="20"/>
          <w:szCs w:val="20"/>
        </w:rPr>
        <w:t xml:space="preserve">Without release time or compensation, this work happens at nights and weekends, producing lower quality and higher faculty burnout</w:t>
      </w:r>
    </w:p>
    <w:p>
      <w:pPr>
        <w:pStyle w:val="ListParagraph"/>
        <w:numPr>
          <w:ilvl w:val="0"/>
          <w:numId w:val="2"/>
        </w:numPr>
        <w:spacing w:before="22" w:after="22"/>
      </w:pPr>
      <w:r>
        <w:rPr>
          <w:rFonts w:ascii="Calibri" w:cs="Calibri" w:eastAsia="Calibri" w:hAnsi="Calibri"/>
          <w:b w:val="false"/>
          <w:bCs w:val="false"/>
          <w:color w:val="1A1A2E"/>
          <w:sz w:val="20"/>
          <w:szCs w:val="20"/>
        </w:rPr>
        <w:t xml:space="preserve">This is the primary reason course quality is inconsistent across the institution</w:t>
      </w:r>
    </w:p>
    <w:p/>
    <w:p>
      <w:pPr>
        <w:spacing w:before="160" w:after="40"/>
      </w:pPr>
      <w:r>
        <w:rPr>
          <w:rFonts w:ascii="Calibri" w:cs="Calibri" w:eastAsia="Calibri" w:hAnsi="Calibri"/>
          <w:b/>
          <w:bCs/>
          <w:color w:val="2D7D9A"/>
          <w:sz w:val="22"/>
          <w:szCs w:val="22"/>
        </w:rPr>
        <w:t xml:space="preserve">For a faculty member with HQCDP partnership support:</w:t>
      </w:r>
    </w:p>
    <w:p>
      <w:pPr>
        <w:pStyle w:val="ListParagraph"/>
        <w:numPr>
          <w:ilvl w:val="0"/>
          <w:numId w:val="2"/>
        </w:numPr>
        <w:spacing w:before="22" w:after="22"/>
      </w:pPr>
      <w:r>
        <w:rPr>
          <w:rFonts w:ascii="Calibri" w:cs="Calibri" w:eastAsia="Calibri" w:hAnsi="Calibri"/>
          <w:b w:val="false"/>
          <w:bCs w:val="false"/>
          <w:color w:val="1A1A2E"/>
          <w:sz w:val="20"/>
          <w:szCs w:val="20"/>
        </w:rPr>
        <w:t xml:space="preserve">Faculty time: 40–60 hours (subject expertise, content decisions, review, approval)</w:t>
      </w:r>
    </w:p>
    <w:p>
      <w:pPr>
        <w:pStyle w:val="ListParagraph"/>
        <w:numPr>
          <w:ilvl w:val="0"/>
          <w:numId w:val="2"/>
        </w:numPr>
        <w:spacing w:before="22" w:after="22"/>
      </w:pPr>
      <w:r>
        <w:rPr>
          <w:rFonts w:ascii="Calibri" w:cs="Calibri" w:eastAsia="Calibri" w:hAnsi="Calibri"/>
          <w:b w:val="false"/>
          <w:bCs w:val="false"/>
          <w:color w:val="1A1A2E"/>
          <w:sz w:val="20"/>
          <w:szCs w:val="20"/>
        </w:rPr>
        <w:t xml:space="preserve">Instructional designer time: 60–80 hours (architecture, documentation, Canvas build, QM verification)</w:t>
      </w:r>
    </w:p>
    <w:p>
      <w:pPr>
        <w:pStyle w:val="ListParagraph"/>
        <w:numPr>
          <w:ilvl w:val="0"/>
          <w:numId w:val="2"/>
        </w:numPr>
        <w:spacing w:before="22" w:after="22"/>
      </w:pPr>
      <w:r>
        <w:rPr>
          <w:rFonts w:ascii="Calibri" w:cs="Calibri" w:eastAsia="Calibri" w:hAnsi="Calibri"/>
          <w:b w:val="false"/>
          <w:bCs w:val="false"/>
          <w:color w:val="1A1A2E"/>
          <w:sz w:val="20"/>
          <w:szCs w:val="20"/>
        </w:rPr>
        <w:t xml:space="preserve">Total team time: 100–140 hours — but distributed correctly between the people best positioned for each task</w:t>
      </w:r>
    </w:p>
    <w:p>
      <w:pPr>
        <w:pStyle w:val="ListParagraph"/>
        <w:numPr>
          <w:ilvl w:val="0"/>
          <w:numId w:val="2"/>
        </w:numPr>
        <w:spacing w:before="22" w:after="22"/>
      </w:pPr>
      <w:r>
        <w:rPr>
          <w:rFonts w:ascii="Calibri" w:cs="Calibri" w:eastAsia="Calibri" w:hAnsi="Calibri"/>
          <w:b w:val="false"/>
          <w:bCs w:val="false"/>
          <w:color w:val="1A1A2E"/>
          <w:sz w:val="20"/>
          <w:szCs w:val="20"/>
        </w:rPr>
        <w:t xml:space="preserve">Result: Higher quality, faster timeline, and a faculty member who understands their course design rather than being overwhelmed by it</w:t>
      </w:r>
    </w:p>
    <w:p/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single" w:color="1B5E20" w:sz="6"/>
              <w:left w:val="single" w:color="1B5E20" w:sz="16"/>
              <w:bottom w:val="single" w:color="1B5E20" w:sz="2"/>
              <w:right w:val="single" w:color="1B5E20" w:sz="2"/>
            </w:tcBorders>
            <w:shd w:fill="E8F5E9" w:val="clear"/>
            <w:tcMar>
              <w:top w:type="dxa" w:w="110"/>
              <w:left w:type="dxa" w:w="170"/>
              <w:bottom w:type="dxa" w:w="110"/>
              <w:right w:type="dxa" w:w="170"/>
            </w:tcMar>
          </w:tcPr>
          <w:p>
            <w:pPr>
              <w:spacing w:before="0" w:after="35"/>
            </w:pPr>
            <w:r>
              <w:rPr>
                <w:rFonts w:ascii="Calibri" w:cs="Calibri" w:eastAsia="Calibri" w:hAnsi="Calibri"/>
                <w:b/>
                <w:bCs/>
                <w:color w:val="1B5E20"/>
                <w:sz w:val="18"/>
                <w:szCs w:val="18"/>
              </w:rPr>
              <w:t xml:space="preserve">The ROI Calculation</w:t>
            </w:r>
          </w:p>
          <w:p>
            <w:pPr>
              <w:spacing w:before="0" w:after="0"/>
            </w:pPr>
            <w:r>
              <w:rPr>
                <w:rFonts w:ascii="Calibri" w:cs="Calibri" w:eastAsia="Calibri" w:hAnsi="Calibri"/>
                <w:b w:val="false"/>
                <w:bCs w:val="false"/>
                <w:color w:val="1A1A2E"/>
                <w:sz w:val="19"/>
                <w:szCs w:val="19"/>
              </w:rPr>
              <w:t xml:space="preserve">One instructional designer supporting 6 faculty per semester can produce 6 QM-certified, RSI-compliant courses that would otherwise each take 150–220 uncompensated faculty hours. Total faculty time saved: 900–1,320 hours per semester. At an average faculty hourly rate of $35–$50, that is $31,500–$66,000 in faculty time — per semester — redirected from course production to teaching, student support, and scholarship.</w:t>
            </w:r>
          </w:p>
        </w:tc>
      </w:tr>
    </w:tbl>
    <w:p/>
    <w:p>
      <w:pPr>
        <w:pBdr>
          <w:bottom w:val="single" w:color="C9A84C" w:sz="5" w:space="4"/>
        </w:pBdr>
        <w:spacing w:before="220" w:after="70"/>
      </w:pPr>
      <w:r>
        <w:rPr>
          <w:rFonts w:ascii="Calibri" w:cs="Calibri" w:eastAsia="Calibri" w:hAnsi="Calibri"/>
          <w:b/>
          <w:bCs/>
          <w:color w:val="1A3A5C"/>
          <w:sz w:val="26"/>
          <w:szCs w:val="26"/>
        </w:rPr>
        <w:t xml:space="preserve">Part III: The Hidden Cost of 'Good Enough'</w:t>
      </w:r>
    </w:p>
    <w:p>
      <w:pPr>
        <w:spacing w:before="50" w:after="50"/>
      </w:pPr>
      <w:r>
        <w:rPr>
          <w:rFonts w:ascii="Calibri" w:cs="Calibri" w:eastAsia="Calibri" w:hAnsi="Calibri"/>
          <w:b w:val="false"/>
          <w:bCs w:val="false"/>
          <w:color w:val="1A1A2E"/>
          <w:sz w:val="20"/>
          <w:szCs w:val="20"/>
        </w:rPr>
        <w:t xml:space="preserve">When courses are built without this investment, the institutional costs are real but distributed invisibly:</w:t>
      </w:r>
    </w:p>
    <w:p/>
    <w:p>
      <w:pPr>
        <w:pStyle w:val="ListParagraph"/>
        <w:numPr>
          <w:ilvl w:val="0"/>
          <w:numId w:val="2"/>
        </w:numPr>
        <w:spacing w:before="22" w:after="22"/>
      </w:pPr>
      <w:r>
        <w:rPr>
          <w:rFonts w:ascii="Calibri" w:cs="Calibri" w:eastAsia="Calibri" w:hAnsi="Calibri"/>
          <w:b/>
          <w:bCs/>
          <w:color w:val="1A1A2E"/>
          <w:sz w:val="20"/>
          <w:szCs w:val="20"/>
        </w:rPr>
        <w:t xml:space="preserve">Student outcomes: </w:t>
      </w:r>
      <w:r>
        <w:rPr>
          <w:rFonts w:ascii="Calibri" w:cs="Calibri" w:eastAsia="Calibri" w:hAnsi="Calibri"/>
          <w:b w:val="false"/>
          <w:bCs w:val="false"/>
          <w:color w:val="1A1A2E"/>
          <w:sz w:val="20"/>
          <w:szCs w:val="20"/>
        </w:rPr>
        <w:t xml:space="preserve">Misaligned activities produce students who complete work without demonstrating learning — increasing DFW rates and reducing retention</w:t>
      </w:r>
    </w:p>
    <w:p>
      <w:pPr>
        <w:pStyle w:val="ListParagraph"/>
        <w:numPr>
          <w:ilvl w:val="0"/>
          <w:numId w:val="2"/>
        </w:numPr>
        <w:spacing w:before="22" w:after="22"/>
      </w:pPr>
      <w:r>
        <w:rPr>
          <w:rFonts w:ascii="Calibri" w:cs="Calibri" w:eastAsia="Calibri" w:hAnsi="Calibri"/>
          <w:b/>
          <w:bCs/>
          <w:color w:val="1A1A2E"/>
          <w:sz w:val="20"/>
          <w:szCs w:val="20"/>
        </w:rPr>
        <w:t xml:space="preserve">Federal compliance risk: </w:t>
      </w:r>
      <w:r>
        <w:rPr>
          <w:rFonts w:ascii="Calibri" w:cs="Calibri" w:eastAsia="Calibri" w:hAnsi="Calibri"/>
          <w:b w:val="false"/>
          <w:bCs w:val="false"/>
          <w:color w:val="1A1A2E"/>
          <w:sz w:val="20"/>
          <w:szCs w:val="20"/>
        </w:rPr>
        <w:t xml:space="preserve">Courses without documented RSI expose the institution to Title IV audit risk — fines and repayment obligations for non-compliant distance education</w:t>
      </w:r>
    </w:p>
    <w:p>
      <w:pPr>
        <w:pStyle w:val="ListParagraph"/>
        <w:numPr>
          <w:ilvl w:val="0"/>
          <w:numId w:val="2"/>
        </w:numPr>
        <w:spacing w:before="22" w:after="22"/>
      </w:pPr>
      <w:r>
        <w:rPr>
          <w:rFonts w:ascii="Calibri" w:cs="Calibri" w:eastAsia="Calibri" w:hAnsi="Calibri"/>
          <w:b/>
          <w:bCs/>
          <w:color w:val="1A1A2E"/>
          <w:sz w:val="20"/>
          <w:szCs w:val="20"/>
        </w:rPr>
        <w:t xml:space="preserve">Accreditation exposure: </w:t>
      </w:r>
      <w:r>
        <w:rPr>
          <w:rFonts w:ascii="Calibri" w:cs="Calibri" w:eastAsia="Calibri" w:hAnsi="Calibri"/>
          <w:b w:val="false"/>
          <w:bCs w:val="false"/>
          <w:color w:val="1A1A2E"/>
          <w:sz w:val="20"/>
          <w:szCs w:val="20"/>
        </w:rPr>
        <w:t xml:space="preserve">SACSCOC requires evidence of student learning outcomes assessment — courses without CLO alignment documentation create audit vulnerabilities</w:t>
      </w:r>
    </w:p>
    <w:p>
      <w:pPr>
        <w:pStyle w:val="ListParagraph"/>
        <w:numPr>
          <w:ilvl w:val="0"/>
          <w:numId w:val="2"/>
        </w:numPr>
        <w:spacing w:before="22" w:after="22"/>
      </w:pPr>
      <w:r>
        <w:rPr>
          <w:rFonts w:ascii="Calibri" w:cs="Calibri" w:eastAsia="Calibri" w:hAnsi="Calibri"/>
          <w:b/>
          <w:bCs/>
          <w:color w:val="1A1A2E"/>
          <w:sz w:val="20"/>
          <w:szCs w:val="20"/>
        </w:rPr>
        <w:t xml:space="preserve">Faculty morale: </w:t>
      </w:r>
      <w:r>
        <w:rPr>
          <w:rFonts w:ascii="Calibri" w:cs="Calibri" w:eastAsia="Calibri" w:hAnsi="Calibri"/>
          <w:b w:val="false"/>
          <w:bCs w:val="false"/>
          <w:color w:val="1A1A2E"/>
          <w:sz w:val="20"/>
          <w:szCs w:val="20"/>
        </w:rPr>
        <w:t xml:space="preserve">Faculty who build poor courses often know they are poor and feel unsupported — a contributing factor in turnover and disengagement</w:t>
      </w:r>
    </w:p>
    <w:p>
      <w:pPr>
        <w:pStyle w:val="ListParagraph"/>
        <w:numPr>
          <w:ilvl w:val="0"/>
          <w:numId w:val="2"/>
        </w:numPr>
        <w:spacing w:before="22" w:after="22"/>
      </w:pPr>
      <w:r>
        <w:rPr>
          <w:rFonts w:ascii="Calibri" w:cs="Calibri" w:eastAsia="Calibri" w:hAnsi="Calibri"/>
          <w:b/>
          <w:bCs/>
          <w:color w:val="1A1A2E"/>
          <w:sz w:val="20"/>
          <w:szCs w:val="20"/>
        </w:rPr>
        <w:t xml:space="preserve">Reputational cost: </w:t>
      </w:r>
      <w:r>
        <w:rPr>
          <w:rFonts w:ascii="Calibri" w:cs="Calibri" w:eastAsia="Calibri" w:hAnsi="Calibri"/>
          <w:b w:val="false"/>
          <w:bCs w:val="false"/>
          <w:color w:val="1A1A2E"/>
          <w:sz w:val="20"/>
          <w:szCs w:val="20"/>
        </w:rPr>
        <w:t xml:space="preserve">Student course evaluations and word-of-mouth enrollment decisions are directly affected by course quality</w:t>
      </w:r>
    </w:p>
    <w:p/>
    <w:p>
      <w:pPr>
        <w:pBdr>
          <w:bottom w:val="single" w:color="C9A84C" w:sz="5" w:space="4"/>
        </w:pBdr>
        <w:spacing w:before="220" w:after="70"/>
      </w:pPr>
      <w:r>
        <w:rPr>
          <w:rFonts w:ascii="Calibri" w:cs="Calibri" w:eastAsia="Calibri" w:hAnsi="Calibri"/>
          <w:b/>
          <w:bCs/>
          <w:color w:val="1A3A5C"/>
          <w:sz w:val="26"/>
          <w:szCs w:val="26"/>
        </w:rPr>
        <w:t xml:space="preserve">Part IV: What FTCC Has Invested — and What It Has Produced</w:t>
      </w:r>
    </w:p>
    <w:p>
      <w:pPr>
        <w:spacing w:before="50" w:after="50"/>
      </w:pPr>
      <w:r>
        <w:rPr>
          <w:rFonts w:ascii="Calibri" w:cs="Calibri" w:eastAsia="Calibri" w:hAnsi="Calibri"/>
          <w:b w:val="false"/>
          <w:bCs w:val="false"/>
          <w:color w:val="1A1A2E"/>
          <w:sz w:val="20"/>
          <w:szCs w:val="20"/>
        </w:rPr>
        <w:t xml:space="preserve">The HQCDP exemplar courses (HIS-131 and HIS-132) represent approximately 240 hours of combined instructional design and faculty time across both courses. In return:</w:t>
      </w:r>
    </w:p>
    <w:p/>
    <w:p>
      <w:pPr>
        <w:pStyle w:val="ListParagraph"/>
        <w:numPr>
          <w:ilvl w:val="0"/>
          <w:numId w:val="2"/>
        </w:numPr>
        <w:spacing w:before="22" w:after="22"/>
      </w:pPr>
      <w:r>
        <w:rPr>
          <w:rFonts w:ascii="Calibri" w:cs="Calibri" w:eastAsia="Calibri" w:hAnsi="Calibri"/>
          <w:b w:val="false"/>
          <w:bCs w:val="false"/>
          <w:color w:val="1A1A2E"/>
          <w:sz w:val="20"/>
          <w:szCs w:val="20"/>
        </w:rPr>
        <w:t xml:space="preserve">Two fully QM-certified courses (22/22 Essential Standards each) ready for formal peer review</w:t>
      </w:r>
    </w:p>
    <w:p>
      <w:pPr>
        <w:pStyle w:val="ListParagraph"/>
        <w:numPr>
          <w:ilvl w:val="0"/>
          <w:numId w:val="2"/>
        </w:numPr>
        <w:spacing w:before="22" w:after="22"/>
      </w:pPr>
      <w:r>
        <w:rPr>
          <w:rFonts w:ascii="Calibri" w:cs="Calibri" w:eastAsia="Calibri" w:hAnsi="Calibri"/>
          <w:b w:val="false"/>
          <w:bCs w:val="false"/>
          <w:color w:val="1A1A2E"/>
          <w:sz w:val="20"/>
          <w:szCs w:val="20"/>
        </w:rPr>
        <w:t xml:space="preserve">A replicable model that reduces subsequent course builds by 30–40% once the framework is established</w:t>
      </w:r>
    </w:p>
    <w:p>
      <w:pPr>
        <w:pStyle w:val="ListParagraph"/>
        <w:numPr>
          <w:ilvl w:val="0"/>
          <w:numId w:val="2"/>
        </w:numPr>
        <w:spacing w:before="22" w:after="22"/>
      </w:pPr>
      <w:r>
        <w:rPr>
          <w:rFonts w:ascii="Calibri" w:cs="Calibri" w:eastAsia="Calibri" w:hAnsi="Calibri"/>
          <w:b w:val="false"/>
          <w:bCs w:val="false"/>
          <w:color w:val="1A1A2E"/>
          <w:sz w:val="20"/>
          <w:szCs w:val="20"/>
        </w:rPr>
        <w:t xml:space="preserve">A complete template library (course map, teaching plan, workload calculator) that any discipline can adapt</w:t>
      </w:r>
    </w:p>
    <w:p>
      <w:pPr>
        <w:pStyle w:val="ListParagraph"/>
        <w:numPr>
          <w:ilvl w:val="0"/>
          <w:numId w:val="2"/>
        </w:numPr>
        <w:spacing w:before="22" w:after="22"/>
      </w:pPr>
      <w:r>
        <w:rPr>
          <w:rFonts w:ascii="Calibri" w:cs="Calibri" w:eastAsia="Calibri" w:hAnsi="Calibri"/>
          <w:b w:val="false"/>
          <w:bCs w:val="false"/>
          <w:color w:val="1A1A2E"/>
          <w:sz w:val="20"/>
          <w:szCs w:val="20"/>
        </w:rPr>
        <w:t xml:space="preserve">Documented federal compliance — RSI at 10× minimum, student hours at 102% of target</w:t>
      </w:r>
    </w:p>
    <w:p>
      <w:pPr>
        <w:pStyle w:val="ListParagraph"/>
        <w:numPr>
          <w:ilvl w:val="0"/>
          <w:numId w:val="2"/>
        </w:numPr>
        <w:spacing w:before="22" w:after="22"/>
      </w:pPr>
      <w:r>
        <w:rPr>
          <w:rFonts w:ascii="Calibri" w:cs="Calibri" w:eastAsia="Calibri" w:hAnsi="Calibri"/>
          <w:b w:val="false"/>
          <w:bCs w:val="false"/>
          <w:color w:val="1A1A2E"/>
          <w:sz w:val="20"/>
          <w:szCs w:val="20"/>
        </w:rPr>
        <w:t xml:space="preserve">A GitHub-hosted interactive dashboard that makes the model transparent and scalable</w:t>
      </w:r>
    </w:p>
    <w:p>
      <w:pPr>
        <w:pStyle w:val="ListParagraph"/>
        <w:numPr>
          <w:ilvl w:val="0"/>
          <w:numId w:val="2"/>
        </w:numPr>
        <w:spacing w:before="22" w:after="22"/>
      </w:pPr>
      <w:r>
        <w:rPr>
          <w:rFonts w:ascii="Calibri" w:cs="Calibri" w:eastAsia="Calibri" w:hAnsi="Calibri"/>
          <w:b w:val="false"/>
          <w:bCs w:val="false"/>
          <w:color w:val="1A1A2E"/>
          <w:sz w:val="20"/>
          <w:szCs w:val="20"/>
        </w:rPr>
        <w:t xml:space="preserve">A professional development framework that faculty can use to build their own courses with support</w:t>
      </w:r>
    </w:p>
    <w:p/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single" w:color="C9A84C" w:sz="6"/>
              <w:left w:val="single" w:color="C9A84C" w:sz="16"/>
              <w:bottom w:val="single" w:color="C9A84C" w:sz="2"/>
              <w:right w:val="single" w:color="C9A84C" w:sz="2"/>
            </w:tcBorders>
            <w:shd w:fill="FDF5E0" w:val="clear"/>
            <w:tcMar>
              <w:top w:type="dxa" w:w="110"/>
              <w:left w:type="dxa" w:w="170"/>
              <w:bottom w:type="dxa" w:w="110"/>
              <w:right w:type="dxa" w:w="170"/>
            </w:tcMar>
          </w:tcPr>
          <w:p>
            <w:pPr>
              <w:spacing w:before="0" w:after="35"/>
            </w:pPr>
            <w:r>
              <w:rPr>
                <w:rFonts w:ascii="Calibri" w:cs="Calibri" w:eastAsia="Calibri" w:hAnsi="Calibri"/>
                <w:b/>
                <w:bCs/>
                <w:color w:val="C9A84C"/>
                <w:sz w:val="18"/>
                <w:szCs w:val="18"/>
              </w:rPr>
              <w:t xml:space="preserve">The Bottom Line for Administration</w:t>
            </w:r>
          </w:p>
          <w:p>
            <w:pPr>
              <w:spacing w:before="0" w:after="0"/>
            </w:pPr>
            <w:r>
              <w:rPr>
                <w:rFonts w:ascii="Calibri" w:cs="Calibri" w:eastAsia="Calibri" w:hAnsi="Calibri"/>
                <w:b w:val="false"/>
                <w:bCs w:val="false"/>
                <w:color w:val="1A1A2E"/>
                <w:sz w:val="19"/>
                <w:szCs w:val="19"/>
              </w:rPr>
              <w:t xml:space="preserve">Quality course design is not a luxury — it is a compliance requirement, a retention driver, and a faculty support system. The question is not whether to invest in it, but whether to invest proactively through structured support or reactively through course corrections, audit responses, and faculty turnover.</w:t>
            </w:r>
          </w:p>
        </w:tc>
      </w:tr>
    </w:tbl>
    <w:sectPr>
      <w:pgSz w:w="12240" w:h="15840" w:orient="portrait"/>
      <w:pgMar w:top="1080" w:right="1260" w:bottom="1080" w:left="126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20" w:hanging="360"/>
      </w:pPr>
    </w:lvl>
  </w:abstractNum>
  <w:abstractNum w:abstractNumId="4" w15:restartNumberingAfterBreak="0">
    <w:multiLevelType w:val="hybridMultilevel"/>
    <w:lvl w:ilvl="0" w15:tentative="1">
      <w:start w:val="1"/>
      <w:numFmt w:val="bullet"/>
      <w:lvlText w:val="◦"/>
      <w:lvlJc w:val="left"/>
      <w:pPr>
        <w:ind w:left="1080" w:hanging="360"/>
      </w:pPr>
    </w:lvl>
  </w:abstractNum>
  <w:abstractNum w:abstractNumId="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108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2026-03-17T16:11:59.194Z</dcterms:created>
  <dcterms:modified xsi:type="dcterms:W3CDTF">2026-03-17T16:11:59.194Z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