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A3A5C" w:val="clear"/>
        <w:spacing w:before="0" w:after="0"/>
      </w:pPr>
      <w:r>
        <w:rPr>
          <w:rFonts w:ascii="Calibri" w:cs="Calibri" w:eastAsia="Calibri" w:hAnsi="Calibri"/>
          <w:b/>
          <w:bCs/>
          <w:color w:val="C9A84C"/>
          <w:sz w:val="16"/>
          <w:szCs w:val="16"/>
        </w:rPr>
        <w:t xml:space="preserve">  FAYETTEVILLE TECHNICAL COMMUNITY COLLEGE  |  INSTRUCTIONAL SUPPORT &amp; QUALITY ASSURANCE</w:t>
      </w:r>
    </w:p>
    <w:p>
      <w:pPr>
        <w:spacing w:before="120" w:after="20"/>
      </w:pPr>
      <w:r>
        <w:rPr>
          <w:rFonts w:ascii="Calibri" w:cs="Calibri" w:eastAsia="Calibri" w:hAnsi="Calibri"/>
          <w:b/>
          <w:bCs/>
          <w:color w:val="1A3A5C"/>
          <w:sz w:val="38"/>
          <w:szCs w:val="38"/>
        </w:rPr>
        <w:t xml:space="preserve">High-Quality Course Design Program</w:t>
      </w:r>
    </w:p>
    <w:p>
      <w:pPr>
        <w:spacing w:before="0" w:after="20"/>
      </w:pPr>
      <w:r>
        <w:rPr>
          <w:rFonts w:ascii="Calibri" w:cs="Calibri" w:eastAsia="Calibri" w:hAnsi="Calibri"/>
          <w:b/>
          <w:bCs/>
          <w:color w:val="1B6CA8"/>
          <w:sz w:val="28"/>
          <w:szCs w:val="28"/>
        </w:rPr>
        <w:t xml:space="preserve">Strategic Implementation Framework</w:t>
      </w:r>
    </w:p>
    <w:p>
      <w:pPr>
        <w:pBdr>
          <w:bottom w:val="single" w:color="C9A84C" w:sz="10"/>
        </w:pBdr>
        <w:spacing w:before="0" w:after="100"/>
      </w:pPr>
      <w:r>
        <w:rPr>
          <w:rFonts w:ascii="Calibri" w:cs="Calibri" w:eastAsia="Calibri" w:hAnsi="Calibri"/>
          <w:b w:val="false"/>
          <w:bCs w:val="false"/>
          <w:color w:val="4A5568"/>
          <w:sz w:val="20"/>
          <w:szCs w:val="20"/>
        </w:rPr>
        <w:t xml:space="preserve">Scaling, Replication, and Sustainability Plan  |  Spring 2026 and Beyond</w:t>
      </w:r>
    </w:p>
    <w:p>
      <w:pPr>
        <w:spacing w:before="60" w:after="20"/>
        <w:jc w:val="left"/>
      </w:pPr>
      <w:r>
        <w:rPr>
          <w:rFonts w:ascii="Calibri" w:cs="Calibri" w:eastAsia="Calibri" w:hAnsi="Calibri"/>
          <w:b w:val="false"/>
          <w:bCs w:val="false"/>
          <w:color w:val="1A1A2E"/>
          <w:sz w:val="20"/>
          <w:szCs w:val="20"/>
        </w:rPr>
        <w:t xml:space="preserve"/>
      </w:r>
    </w:p>
    <w:p>
      <w:pPr>
        <w:spacing w:before="40" w:after="40"/>
        <w:jc w:val="left"/>
      </w:pPr>
      <w:r>
        <w:rPr>
          <w:rFonts w:ascii="Calibri" w:cs="Calibri" w:eastAsia="Calibri" w:hAnsi="Calibri"/>
          <w:b/>
          <w:bCs/>
          <w:color w:val="1A1A2E"/>
          <w:sz w:val="20"/>
          <w:szCs w:val="20"/>
        </w:rPr>
        <w:t xml:space="preserve">Prepared by: </w:t>
      </w:r>
      <w:r>
        <w:rPr>
          <w:rFonts w:ascii="Calibri" w:cs="Calibri" w:eastAsia="Calibri" w:hAnsi="Calibri"/>
          <w:b/>
          <w:bCs/>
          <w:color w:val="1A3A5C"/>
          <w:sz w:val="20"/>
          <w:szCs w:val="20"/>
        </w:rPr>
        <w:t xml:space="preserve">Angela Westmoreland, M.Ed.</w:t>
      </w:r>
    </w:p>
    <w:p>
      <w:pPr>
        <w:spacing w:before="40" w:after="40"/>
        <w:jc w:val="left"/>
      </w:pPr>
      <w:r>
        <w:rPr>
          <w:rFonts w:ascii="Calibri" w:cs="Calibri" w:eastAsia="Calibri" w:hAnsi="Calibri"/>
          <w:b/>
          <w:bCs/>
          <w:color w:val="1A1A2E"/>
          <w:sz w:val="20"/>
          <w:szCs w:val="20"/>
        </w:rPr>
        <w:t xml:space="preserve">Role: </w:t>
      </w:r>
      <w:r>
        <w:rPr>
          <w:rFonts w:ascii="Calibri" w:cs="Calibri" w:eastAsia="Calibri" w:hAnsi="Calibri"/>
          <w:b w:val="false"/>
          <w:bCs w:val="false"/>
          <w:color w:val="1A1A2E"/>
          <w:sz w:val="20"/>
          <w:szCs w:val="20"/>
        </w:rPr>
        <w:t xml:space="preserve">Instructional Support &amp; Quality Assurance Analyst  |  Fayetteville Technical Community College</w:t>
      </w:r>
    </w:p>
    <w:p>
      <w:pPr>
        <w:spacing w:before="40" w:after="40"/>
        <w:jc w:val="left"/>
      </w:pPr>
      <w:r>
        <w:rPr>
          <w:rFonts w:ascii="Calibri" w:cs="Calibri" w:eastAsia="Calibri" w:hAnsi="Calibri"/>
          <w:b/>
          <w:bCs/>
          <w:color w:val="1A1A2E"/>
          <w:sz w:val="20"/>
          <w:szCs w:val="20"/>
        </w:rPr>
        <w:t xml:space="preserve">Credentials: </w:t>
      </w:r>
      <w:r>
        <w:rPr>
          <w:rFonts w:ascii="Calibri" w:cs="Calibri" w:eastAsia="Calibri" w:hAnsi="Calibri"/>
          <w:b w:val="false"/>
          <w:bCs w:val="false"/>
          <w:color w:val="1A1A2E"/>
          <w:sz w:val="20"/>
          <w:szCs w:val="20"/>
        </w:rPr>
        <w:t xml:space="preserve">Four Quality Matters Certifications  |  Graduate Certificate in Computer Education, ECU  |  20+ Years Instructional Design Experience</w:t>
      </w:r>
    </w:p>
    <w:p>
      <w:pPr>
        <w:spacing w:before="40" w:after="40"/>
        <w:jc w:val="left"/>
      </w:pPr>
      <w:r>
        <w:rPr>
          <w:rFonts w:ascii="Calibri" w:cs="Calibri" w:eastAsia="Calibri" w:hAnsi="Calibri"/>
          <w:b/>
          <w:bCs/>
          <w:color w:val="1A1A2E"/>
          <w:sz w:val="20"/>
          <w:szCs w:val="20"/>
        </w:rPr>
        <w:t xml:space="preserve">NCCADL: </w:t>
      </w:r>
      <w:r>
        <w:rPr>
          <w:rFonts w:ascii="Calibri" w:cs="Calibri" w:eastAsia="Calibri" w:hAnsi="Calibri"/>
          <w:b w:val="false"/>
          <w:bCs w:val="false"/>
          <w:color w:val="1A1A2E"/>
          <w:sz w:val="20"/>
          <w:szCs w:val="20"/>
        </w:rPr>
        <w:t xml:space="preserve">Elected Vice President, NC Community College Association of Distance Learning</w:t>
      </w:r>
    </w:p>
    <w:p>
      <w:pPr>
        <w:spacing w:before="40" w:after="40"/>
        <w:jc w:val="left"/>
      </w:pPr>
      <w:r>
        <w:rPr>
          <w:rFonts w:ascii="Calibri" w:cs="Calibri" w:eastAsia="Calibri" w:hAnsi="Calibri"/>
          <w:b/>
          <w:bCs/>
          <w:color w:val="1A1A2E"/>
          <w:sz w:val="20"/>
          <w:szCs w:val="20"/>
        </w:rPr>
        <w:t xml:space="preserve">Date: </w:t>
      </w:r>
      <w:r>
        <w:rPr>
          <w:rFonts w:ascii="Calibri" w:cs="Calibri" w:eastAsia="Calibri" w:hAnsi="Calibri"/>
          <w:b w:val="false"/>
          <w:bCs w:val="false"/>
          <w:color w:val="1A1A2E"/>
          <w:sz w:val="20"/>
          <w:szCs w:val="20"/>
        </w:rPr>
        <w:t xml:space="preserve">Spring 2026</w:t>
      </w:r>
    </w:p>
    <w:p>
      <w:pPr>
        <w:spacing w:before="60" w:after="20"/>
        <w:jc w:val="left"/>
      </w:pPr>
      <w:r>
        <w:rPr>
          <w:rFonts w:ascii="Calibri" w:cs="Calibri" w:eastAsia="Calibri" w:hAnsi="Calibri"/>
          <w:b w:val="false"/>
          <w:bCs w:val="false"/>
          <w:color w:val="1A1A2E"/>
          <w:sz w:val="20"/>
          <w:szCs w:val="20"/>
        </w:rPr>
        <w:t xml:space="preserve"/>
      </w:r>
    </w:p>
    <w:p>
      <w:pPr>
        <w:shd w:fill="E8F1F8" w:val="clear"/>
        <w:spacing w:before="60" w:after="60"/>
      </w:pPr>
      <w:r>
        <w:rPr>
          <w:rFonts w:ascii="Calibri" w:cs="Calibri" w:eastAsia="Calibri" w:hAnsi="Calibri"/>
          <w:b/>
          <w:bCs/>
          <w:color w:val="1A3A5C"/>
          <w:sz w:val="19"/>
          <w:szCs w:val="19"/>
        </w:rPr>
        <w:t xml:space="preserve">  This document addresses: </w:t>
      </w:r>
      <w:r>
        <w:rPr>
          <w:rFonts w:ascii="Calibri" w:cs="Calibri" w:eastAsia="Calibri" w:hAnsi="Calibri"/>
          <w:b w:val="false"/>
          <w:bCs w:val="false"/>
          <w:color w:val="1B6CA8"/>
          <w:sz w:val="19"/>
          <w:szCs w:val="19"/>
        </w:rPr>
        <w:t xml:space="preserve">GitHub infrastructure  |  Calculation verification  |  Faculty FAQ (including AI questions)  |  Time analysis  |  OER benefits  |  Canvas tools  |  Cohort rollout model  |  Professional development  |  Scalability framework</w:t>
      </w:r>
    </w:p>
    <w:p>
      <w:r>
        <w:br w:type="page"/>
      </w:r>
    </w:p>
    <w:p>
      <w:pPr>
        <w:shd w:fill="1A3A5C" w:val="clear"/>
        <w:spacing w:before="160" w:after="70"/>
      </w:pPr>
      <w:r>
        <w:rPr>
          <w:rFonts w:ascii="Calibri" w:cs="Calibri" w:eastAsia="Calibri" w:hAnsi="Calibri"/>
          <w:b/>
          <w:bCs/>
          <w:color w:val="FFFFFF"/>
          <w:sz w:val="21"/>
          <w:szCs w:val="21"/>
        </w:rPr>
        <w:t xml:space="preserve">  SECTION 1  |  GitHub Infrastructure &amp; Naming Architecture</w:t>
      </w:r>
    </w:p>
    <w:p>
      <w:pPr>
        <w:spacing w:before="40" w:after="40"/>
        <w:jc w:val="left"/>
      </w:pPr>
      <w:r>
        <w:rPr>
          <w:rFonts w:ascii="Calibri" w:cs="Calibri" w:eastAsia="Calibri" w:hAnsi="Calibri"/>
          <w:b w:val="false"/>
          <w:bCs w:val="false"/>
          <w:color w:val="1A1A2E"/>
          <w:sz w:val="19"/>
          <w:szCs w:val="19"/>
        </w:rPr>
        <w:t xml:space="preserve">The current repository structure has grown organically — History, Humanities, individual faculty dashboards, and the CourseForge Studio tools suite all exist as separate repos. The next step is a master landing hub that ties everything together under a coherent institutional identity.</w:t>
      </w:r>
    </w:p>
    <w:p>
      <w:pPr>
        <w:pBdr>
          <w:bottom w:val="single" w:color="1B6CA8" w:sz="6"/>
        </w:pBdr>
        <w:spacing w:before="120" w:after="50"/>
      </w:pPr>
      <w:r>
        <w:rPr>
          <w:rFonts w:ascii="Calibri" w:cs="Calibri" w:eastAsia="Calibri" w:hAnsi="Calibri"/>
          <w:b/>
          <w:bCs/>
          <w:color w:val="1B6CA8"/>
          <w:sz w:val="21"/>
          <w:szCs w:val="21"/>
        </w:rPr>
        <w:t xml:space="preserve">Recommended Repository Name</w:t>
      </w:r>
    </w:p>
    <w:p>
      <w:pPr>
        <w:spacing w:before="40" w:after="40"/>
        <w:jc w:val="left"/>
      </w:pPr>
      <w:r>
        <w:rPr>
          <w:rFonts w:ascii="Calibri" w:cs="Calibri" w:eastAsia="Calibri" w:hAnsi="Calibri"/>
          <w:b/>
          <w:bCs/>
          <w:color w:val="1A3A5C"/>
          <w:sz w:val="20"/>
          <w:szCs w:val="20"/>
        </w:rPr>
        <w:t xml:space="preserve">Recommended: </w:t>
      </w:r>
      <w:r>
        <w:rPr>
          <w:rFonts w:ascii="Calibri" w:cs="Calibri" w:eastAsia="Calibri" w:hAnsi="Calibri"/>
          <w:b/>
          <w:bCs/>
          <w:color w:val="1B6CA8"/>
          <w:sz w:val="20"/>
          <w:szCs w:val="20"/>
        </w:rPr>
        <w:t xml:space="preserve">ftcc-course-design</w:t>
      </w:r>
      <w:r>
        <w:rPr>
          <w:rFonts w:ascii="Calibri" w:cs="Calibri" w:eastAsia="Calibri" w:hAnsi="Calibri"/>
          <w:b w:val="false"/>
          <w:bCs w:val="false"/>
          <w:color w:val="1A1A2E"/>
          <w:sz w:val="20"/>
          <w:szCs w:val="20"/>
        </w:rPr>
        <w:t xml:space="preserve">  (GitHub: </w:t>
      </w:r>
      <w:r>
        <w:rPr>
          <w:rFonts w:ascii="Calibri" w:cs="Calibri" w:eastAsia="Calibri" w:hAnsi="Calibri"/>
          <w:b w:val="false"/>
          <w:bCs w:val="false"/>
          <w:color w:val="1A1A2E"/>
          <w:sz w:val="20"/>
          <w:szCs w:val="20"/>
        </w:rPr>
        <w:t xml:space="preserve">AMLW05.github.io/ftcc-course-design</w:t>
      </w:r>
      <w:r>
        <w:rPr>
          <w:rFonts w:ascii="Calibri" w:cs="Calibri" w:eastAsia="Calibri" w:hAnsi="Calibri"/>
          <w:b w:val="false"/>
          <w:bCs w:val="false"/>
          <w:color w:val="1A1A2E"/>
          <w:sz w:val="20"/>
          <w:szCs w:val="20"/>
        </w:rPr>
        <w:t xml:space="preserve">)</w:t>
      </w:r>
    </w:p>
    <w:p>
      <w:pPr>
        <w:spacing w:before="40" w:after="40"/>
        <w:jc w:val="left"/>
      </w:pPr>
      <w:r>
        <w:rPr>
          <w:rFonts w:ascii="Calibri" w:cs="Calibri" w:eastAsia="Calibri" w:hAnsi="Calibri"/>
          <w:b/>
          <w:bCs/>
          <w:color w:val="4A5568"/>
          <w:sz w:val="19"/>
          <w:szCs w:val="19"/>
        </w:rPr>
        <w:t xml:space="preserve">Why this name works:</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Institutional before personal — 'ftcc' first signals this belongs to the college, not just one person</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Descriptive and durable — 'course-design' communicates purpose without being tied to a specific program or semester</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Clean URL for QR codes: amlw05.github.io/ftcc-course-design — one QR code to share at every presentation</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Separate from CourseForge Studio — CourseForge remains your tools repo; ftcc-course-design becomes the showcase and documentation hub</w:t>
      </w:r>
    </w:p>
    <w:p>
      <w:pPr>
        <w:spacing w:before="20" w:after="10"/>
        <w:jc w:val="left"/>
      </w:pPr>
      <w:r>
        <w:rPr>
          <w:rFonts w:ascii="Calibri" w:cs="Calibri" w:eastAsia="Calibri" w:hAnsi="Calibri"/>
          <w:b w:val="false"/>
          <w:bCs w:val="false"/>
          <w:color w:val="1A1A2E"/>
          <w:sz w:val="20"/>
          <w:szCs w:val="20"/>
        </w:rPr>
        <w:t xml:space="preserve"/>
      </w:r>
    </w:p>
    <w:p>
      <w:pPr>
        <w:pBdr>
          <w:bottom w:val="single" w:color="1B6CA8" w:sz="6"/>
        </w:pBdr>
        <w:spacing w:before="120" w:after="50"/>
      </w:pPr>
      <w:r>
        <w:rPr>
          <w:rFonts w:ascii="Calibri" w:cs="Calibri" w:eastAsia="Calibri" w:hAnsi="Calibri"/>
          <w:b/>
          <w:bCs/>
          <w:color w:val="1B6CA8"/>
          <w:sz w:val="21"/>
          <w:szCs w:val="21"/>
        </w:rPr>
        <w:t xml:space="preserve">Recommended Repository Architecture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400"/>
        <w:gridCol w:w="4360"/>
      </w:tblGrid>
      <w:tr>
        <w:tc>
          <w:tcPr>
            <w:tcW w:type="dxa" w:w="26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Repository</w:t>
            </w:r>
          </w:p>
        </w:tc>
        <w:tc>
          <w:tcPr>
            <w:tcW w:type="dxa" w:w="24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Purpose</w:t>
            </w:r>
          </w:p>
        </w:tc>
        <w:tc>
          <w:tcPr>
            <w:tcW w:type="dxa" w:w="436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Contains</w:t>
            </w:r>
          </w:p>
        </w:tc>
      </w:tr>
      <w:tr>
        <w:tc>
          <w:tcPr>
            <w:tcW w:type="dxa" w:w="2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ftcc-course-design
(NEW — Master Hub)</w:t>
            </w:r>
          </w:p>
        </w:tc>
        <w:tc>
          <w:tcPr>
            <w:tcW w:type="dxa" w:w="24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Showcase, documentation, and faculty-facing landing page</w:t>
            </w:r>
          </w:p>
        </w:tc>
        <w:tc>
          <w:tcPr>
            <w:tcW w:type="dxa" w:w="43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Index linking all courses, program overview, QM alignment docs, HQCDP certification status dashboard, QR landing page</w:t>
            </w:r>
          </w:p>
        </w:tc>
      </w:tr>
      <w:tr>
        <w:tc>
          <w:tcPr>
            <w:tcW w:type="dxa" w:w="2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history-dashboard
(EXISTING)</w:t>
            </w:r>
          </w:p>
        </w:tc>
        <w:tc>
          <w:tcPr>
            <w:tcW w:type="dxa" w:w="24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HIS-131 &amp; HIS-132 course dashboards</w:t>
            </w:r>
          </w:p>
        </w:tc>
        <w:tc>
          <w:tcPr>
            <w:tcW w:type="dxa" w:w="43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Module trackers, course maps, teaching plans — already live</w:t>
            </w:r>
          </w:p>
        </w:tc>
      </w:tr>
      <w:tr>
        <w:tc>
          <w:tcPr>
            <w:tcW w:type="dxa" w:w="2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humanities-dashboard
(EXISTING/EXPAND)</w:t>
            </w:r>
          </w:p>
        </w:tc>
        <w:tc>
          <w:tcPr>
            <w:tcW w:type="dxa" w:w="24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HIS-114 and other humanities courses</w:t>
            </w:r>
          </w:p>
        </w:tc>
        <w:tc>
          <w:tcPr>
            <w:tcW w:type="dxa" w:w="43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Same framework applied to Humanities — connects to master hub</w:t>
            </w:r>
          </w:p>
        </w:tc>
      </w:tr>
      <w:tr>
        <w:tc>
          <w:tcPr>
            <w:tcW w:type="dxa" w:w="2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CourseForge-Studio
(EXISTING)</w:t>
            </w:r>
          </w:p>
        </w:tc>
        <w:tc>
          <w:tcPr>
            <w:tcW w:type="dxa" w:w="24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Faculty tools suite</w:t>
            </w:r>
          </w:p>
        </w:tc>
        <w:tc>
          <w:tcPr>
            <w:tcW w:type="dxa" w:w="43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Lesson planners, rubric generators, course mapping tools, workload calculators — tools that any faculty member can use</w:t>
            </w:r>
          </w:p>
        </w:tc>
      </w:tr>
      <w:tr>
        <w:tc>
          <w:tcPr>
            <w:tcW w:type="dxa" w:w="2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norris-dashboard / fisher-dashboard
(EXISTING)</w:t>
            </w:r>
          </w:p>
        </w:tc>
        <w:tc>
          <w:tcPr>
            <w:tcW w:type="dxa" w:w="24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Individual faculty course tracking</w:t>
            </w:r>
          </w:p>
        </w:tc>
        <w:tc>
          <w:tcPr>
            <w:tcW w:type="dxa" w:w="43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Faculty-specific implementations — linked from master hub as program examples</w:t>
            </w:r>
          </w:p>
        </w:tc>
      </w:tr>
      <w:tr>
        <w:tc>
          <w:tcPr>
            <w:tcW w:type="dxa" w:w="2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cit-dashboard
(PLANNED)</w:t>
            </w:r>
          </w:p>
        </w:tc>
        <w:tc>
          <w:tcPr>
            <w:tcW w:type="dxa" w:w="24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CIT program courses</w:t>
            </w:r>
          </w:p>
        </w:tc>
        <w:tc>
          <w:tcPr>
            <w:tcW w:type="dxa" w:w="43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Cross-disciplinary proof of concept — shows model works outside social sciences</w:t>
            </w:r>
          </w:p>
        </w:tc>
      </w:tr>
    </w:tbl>
    <w:p>
      <w:pPr>
        <w:spacing w:before="60" w:after="20"/>
        <w:jc w:val="left"/>
      </w:pPr>
      <w:r>
        <w:rPr>
          <w:rFonts w:ascii="Calibri" w:cs="Calibri" w:eastAsia="Calibri" w:hAnsi="Calibri"/>
          <w:b w:val="false"/>
          <w:bCs w:val="false"/>
          <w:color w:val="1A1A2E"/>
          <w:sz w:val="20"/>
          <w:szCs w:val="20"/>
        </w:rPr>
        <w:t xml:space="preserve"/>
      </w:r>
    </w:p>
    <w:p>
      <w:pPr>
        <w:shd w:fill="FDF5E0" w:val="clear"/>
        <w:spacing w:before="60" w:after="60"/>
      </w:pPr>
      <w:r>
        <w:rPr>
          <w:rFonts w:ascii="Calibri" w:cs="Calibri" w:eastAsia="Calibri" w:hAnsi="Calibri"/>
          <w:b w:val="false"/>
          <w:bCs w:val="false"/>
          <w:color w:val="7A5C1B"/>
          <w:sz w:val="18"/>
          <w:szCs w:val="18"/>
        </w:rPr>
        <w:t xml:space="preserve">  The master hub addresses a scalability problem: right now each course lives in isolation. The hub creates an institutional narrative — this is a program, not a project.</w:t>
      </w:r>
    </w:p>
    <w:p>
      <w:r>
        <w:br w:type="page"/>
      </w:r>
    </w:p>
    <w:p>
      <w:pPr>
        <w:shd w:fill="1B5E2C" w:val="clear"/>
        <w:spacing w:before="160" w:after="70"/>
      </w:pPr>
      <w:r>
        <w:rPr>
          <w:rFonts w:ascii="Calibri" w:cs="Calibri" w:eastAsia="Calibri" w:hAnsi="Calibri"/>
          <w:b/>
          <w:bCs/>
          <w:color w:val="FFFFFF"/>
          <w:sz w:val="21"/>
          <w:szCs w:val="21"/>
        </w:rPr>
        <w:t xml:space="preserve">  SECTION 2  |  Point Calculation Verification  |  HIS-131 &amp; HIS-132</w:t>
      </w:r>
    </w:p>
    <w:p>
      <w:pPr>
        <w:spacing w:before="40" w:after="40"/>
        <w:jc w:val="left"/>
      </w:pPr>
      <w:r>
        <w:rPr>
          <w:rFonts w:ascii="Calibri" w:cs="Calibri" w:eastAsia="Calibri" w:hAnsi="Calibri"/>
          <w:b w:val="false"/>
          <w:bCs w:val="false"/>
          <w:color w:val="1A1A2E"/>
          <w:sz w:val="19"/>
          <w:szCs w:val="19"/>
        </w:rPr>
        <w:t xml:space="preserve">Both courses use identical point architecture. All calculations below are verified independently. Your mental math was correct.</w:t>
      </w:r>
    </w:p>
    <w:p>
      <w:pPr>
        <w:spacing w:before="20" w:after="10"/>
        <w:jc w:val="left"/>
      </w:pPr>
      <w:r>
        <w:rPr>
          <w:rFonts w:ascii="Calibri" w:cs="Calibri" w:eastAsia="Calibri" w:hAnsi="Calibri"/>
          <w:b w:val="false"/>
          <w:bCs w:val="false"/>
          <w:color w:val="1A1A2E"/>
          <w:sz w:val="20"/>
          <w:szCs w:val="20"/>
        </w:rPr>
        <w:t xml:space="preserve"/>
      </w:r>
    </w:p>
    <w:p>
      <w:pPr>
        <w:pBdr>
          <w:bottom w:val="single" w:color="1B5E2C" w:sz="6"/>
        </w:pBdr>
        <w:spacing w:before="120" w:after="50"/>
      </w:pPr>
      <w:r>
        <w:rPr>
          <w:rFonts w:ascii="Calibri" w:cs="Calibri" w:eastAsia="Calibri" w:hAnsi="Calibri"/>
          <w:b/>
          <w:bCs/>
          <w:color w:val="1B5E2C"/>
          <w:sz w:val="21"/>
          <w:szCs w:val="21"/>
        </w:rPr>
        <w:t xml:space="preserve">Full Point Breakdown — Verified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900"/>
        <w:gridCol w:w="900"/>
        <w:gridCol w:w="1100"/>
        <w:gridCol w:w="1560"/>
        <w:gridCol w:w="1900"/>
      </w:tblGrid>
      <w:tr>
        <w:tc>
          <w:tcPr>
            <w:tcW w:type="dxa" w:w="30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Assessment Category</w:t>
            </w:r>
          </w:p>
        </w:tc>
        <w:tc>
          <w:tcPr>
            <w:tcW w:type="dxa" w:w="9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Count</w:t>
            </w:r>
          </w:p>
        </w:tc>
        <w:tc>
          <w:tcPr>
            <w:tcW w:type="dxa" w:w="9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Pts Ea.</w:t>
            </w:r>
          </w:p>
        </w:tc>
        <w:tc>
          <w:tcPr>
            <w:tcW w:type="dxa" w:w="11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Subtotal</w:t>
            </w:r>
          </w:p>
        </w:tc>
        <w:tc>
          <w:tcPr>
            <w:tcW w:type="dxa" w:w="156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 of Grade</w:t>
            </w:r>
          </w:p>
        </w:tc>
        <w:tc>
          <w:tcPr>
            <w:tcW w:type="dxa" w:w="19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Grading Mode</w:t>
            </w:r>
          </w:p>
        </w:tc>
      </w:tr>
      <w:tr>
        <w:tc>
          <w:tcPr>
            <w:tcW w:type="dxa" w:w="30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Learning Activities LA1 — Key Terms (matching)</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8</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20</w:t>
            </w:r>
          </w:p>
        </w:tc>
        <w:tc>
          <w:tcPr>
            <w:tcW w:type="dxa" w:w="11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160</w:t>
            </w:r>
          </w:p>
        </w:tc>
        <w:tc>
          <w:tcPr>
            <w:tcW w:type="dxa" w:w="15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9.5%</w:t>
            </w:r>
          </w:p>
        </w:tc>
        <w:tc>
          <w:tcPr>
            <w:tcW w:type="dxa" w:w="19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6CA8"/>
                <w:sz w:val="17"/>
                <w:szCs w:val="17"/>
              </w:rPr>
              <w:t xml:space="preserve">AUTO</w:t>
            </w:r>
          </w:p>
        </w:tc>
      </w:tr>
      <w:tr>
        <w:tc>
          <w:tcPr>
            <w:tcW w:type="dxa" w:w="30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Learning Activities LA2 — People &amp; Events (MC)</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8</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20</w:t>
            </w:r>
          </w:p>
        </w:tc>
        <w:tc>
          <w:tcPr>
            <w:tcW w:type="dxa" w:w="11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160</w:t>
            </w:r>
          </w:p>
        </w:tc>
        <w:tc>
          <w:tcPr>
            <w:tcW w:type="dxa" w:w="15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9.5%</w:t>
            </w:r>
          </w:p>
        </w:tc>
        <w:tc>
          <w:tcPr>
            <w:tcW w:type="dxa" w:w="19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6CA8"/>
                <w:sz w:val="17"/>
                <w:szCs w:val="17"/>
              </w:rPr>
              <w:t xml:space="preserve">AUTO</w:t>
            </w:r>
          </w:p>
        </w:tc>
      </w:tr>
      <w:tr>
        <w:tc>
          <w:tcPr>
            <w:tcW w:type="dxa" w:w="30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Learning Activities LA3 — Timeline or Comparison (choice)</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8</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20</w:t>
            </w:r>
          </w:p>
        </w:tc>
        <w:tc>
          <w:tcPr>
            <w:tcW w:type="dxa" w:w="11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160</w:t>
            </w:r>
          </w:p>
        </w:tc>
        <w:tc>
          <w:tcPr>
            <w:tcW w:type="dxa" w:w="15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9.5%</w:t>
            </w:r>
          </w:p>
        </w:tc>
        <w:tc>
          <w:tcPr>
            <w:tcW w:type="dxa" w:w="19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6CA8"/>
                <w:sz w:val="17"/>
                <w:szCs w:val="17"/>
              </w:rPr>
              <w:t xml:space="preserve">AUTO</w:t>
            </w:r>
          </w:p>
        </w:tc>
      </w:tr>
      <w:tr>
        <w:tc>
          <w:tcPr>
            <w:tcW w:type="dxa" w:w="30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Learning Activities LA4 — Data Analysis (Mods 3 &amp; 6 only)</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2</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25</w:t>
            </w:r>
          </w:p>
        </w:tc>
        <w:tc>
          <w:tcPr>
            <w:tcW w:type="dxa" w:w="11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50</w:t>
            </w:r>
          </w:p>
        </w:tc>
        <w:tc>
          <w:tcPr>
            <w:tcW w:type="dxa" w:w="15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3.0%</w:t>
            </w:r>
          </w:p>
        </w:tc>
        <w:tc>
          <w:tcPr>
            <w:tcW w:type="dxa" w:w="19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6CA8"/>
                <w:sz w:val="17"/>
                <w:szCs w:val="17"/>
              </w:rPr>
              <w:t xml:space="preserve">AUTO</w:t>
            </w:r>
          </w:p>
        </w:tc>
      </w:tr>
      <w:tr>
        <w:tc>
          <w:tcPr>
            <w:tcW w:type="dxa" w:w="30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Module Quizzes (one per module, Mods 1–8)</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8</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25</w:t>
            </w:r>
          </w:p>
        </w:tc>
        <w:tc>
          <w:tcPr>
            <w:tcW w:type="dxa" w:w="11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200</w:t>
            </w:r>
          </w:p>
        </w:tc>
        <w:tc>
          <w:tcPr>
            <w:tcW w:type="dxa" w:w="15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11.9%</w:t>
            </w:r>
          </w:p>
        </w:tc>
        <w:tc>
          <w:tcPr>
            <w:tcW w:type="dxa" w:w="19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6CA8"/>
                <w:sz w:val="17"/>
                <w:szCs w:val="17"/>
              </w:rPr>
              <w:t xml:space="preserve">AUTO</w:t>
            </w:r>
          </w:p>
        </w:tc>
      </w:tr>
      <w:tr>
        <w:tc>
          <w:tcPr>
            <w:tcW w:type="dxa" w:w="30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Midterm Exam (Module 4, covers Mods 1–4)</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1</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50</w:t>
            </w:r>
          </w:p>
        </w:tc>
        <w:tc>
          <w:tcPr>
            <w:tcW w:type="dxa" w:w="11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50</w:t>
            </w:r>
          </w:p>
        </w:tc>
        <w:tc>
          <w:tcPr>
            <w:tcW w:type="dxa" w:w="15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3.0%</w:t>
            </w:r>
          </w:p>
        </w:tc>
        <w:tc>
          <w:tcPr>
            <w:tcW w:type="dxa" w:w="19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6CA8"/>
                <w:sz w:val="17"/>
                <w:szCs w:val="17"/>
              </w:rPr>
              <w:t xml:space="preserve">AUTO</w:t>
            </w:r>
          </w:p>
        </w:tc>
      </w:tr>
      <w:tr>
        <w:tc>
          <w:tcPr>
            <w:tcW w:type="dxa" w:w="30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Final Exam (Module 8, covers Mods 5–8)</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1</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50</w:t>
            </w:r>
          </w:p>
        </w:tc>
        <w:tc>
          <w:tcPr>
            <w:tcW w:type="dxa" w:w="11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50</w:t>
            </w:r>
          </w:p>
        </w:tc>
        <w:tc>
          <w:tcPr>
            <w:tcW w:type="dxa" w:w="15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3.0%</w:t>
            </w:r>
          </w:p>
        </w:tc>
        <w:tc>
          <w:tcPr>
            <w:tcW w:type="dxa" w:w="19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6CA8"/>
                <w:sz w:val="17"/>
                <w:szCs w:val="17"/>
              </w:rPr>
              <w:t xml:space="preserve">AUTO</w:t>
            </w:r>
          </w:p>
        </w:tc>
      </w:tr>
      <w:tr>
        <w:tc>
          <w:tcPr>
            <w:tcW w:type="dxa" w:w="30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Discussion Boards (even modules: 2, 4, 6, 8)</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4</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100</w:t>
            </w:r>
          </w:p>
        </w:tc>
        <w:tc>
          <w:tcPr>
            <w:tcW w:type="dxa" w:w="11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400</w:t>
            </w:r>
          </w:p>
        </w:tc>
        <w:tc>
          <w:tcPr>
            <w:tcW w:type="dxa" w:w="15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23.8%</w:t>
            </w:r>
          </w:p>
        </w:tc>
        <w:tc>
          <w:tcPr>
            <w:tcW w:type="dxa" w:w="19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INSTRUCTOR</w:t>
            </w:r>
          </w:p>
        </w:tc>
      </w:tr>
      <w:tr>
        <w:tc>
          <w:tcPr>
            <w:tcW w:type="dxa" w:w="30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Portfolio Piece #1 (Module 1 — entry-level)</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1</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50</w:t>
            </w:r>
          </w:p>
        </w:tc>
        <w:tc>
          <w:tcPr>
            <w:tcW w:type="dxa" w:w="11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50</w:t>
            </w:r>
          </w:p>
        </w:tc>
        <w:tc>
          <w:tcPr>
            <w:tcW w:type="dxa" w:w="15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3.0%</w:t>
            </w:r>
          </w:p>
        </w:tc>
        <w:tc>
          <w:tcPr>
            <w:tcW w:type="dxa" w:w="19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INSTRUCTOR</w:t>
            </w:r>
          </w:p>
        </w:tc>
      </w:tr>
      <w:tr>
        <w:tc>
          <w:tcPr>
            <w:tcW w:type="dxa" w:w="30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Portfolio Piece #3 (Module 3 — mid-complexity)</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1</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100</w:t>
            </w:r>
          </w:p>
        </w:tc>
        <w:tc>
          <w:tcPr>
            <w:tcW w:type="dxa" w:w="11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100</w:t>
            </w:r>
          </w:p>
        </w:tc>
        <w:tc>
          <w:tcPr>
            <w:tcW w:type="dxa" w:w="15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6.0%</w:t>
            </w:r>
          </w:p>
        </w:tc>
        <w:tc>
          <w:tcPr>
            <w:tcW w:type="dxa" w:w="19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INSTRUCTOR</w:t>
            </w:r>
          </w:p>
        </w:tc>
      </w:tr>
      <w:tr>
        <w:tc>
          <w:tcPr>
            <w:tcW w:type="dxa" w:w="30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Portfolio Piece #5 (Module 5 — advanced)</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1</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100</w:t>
            </w:r>
          </w:p>
        </w:tc>
        <w:tc>
          <w:tcPr>
            <w:tcW w:type="dxa" w:w="11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100</w:t>
            </w:r>
          </w:p>
        </w:tc>
        <w:tc>
          <w:tcPr>
            <w:tcW w:type="dxa" w:w="15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6.0%</w:t>
            </w:r>
          </w:p>
        </w:tc>
        <w:tc>
          <w:tcPr>
            <w:tcW w:type="dxa" w:w="19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INSTRUCTOR</w:t>
            </w:r>
          </w:p>
        </w:tc>
      </w:tr>
      <w:tr>
        <w:tc>
          <w:tcPr>
            <w:tcW w:type="dxa" w:w="30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Final Portfolio: 'What is America?' (Module 7)</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1</w:t>
            </w:r>
          </w:p>
        </w:tc>
        <w:tc>
          <w:tcPr>
            <w:tcW w:type="dxa" w:w="9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200</w:t>
            </w:r>
          </w:p>
        </w:tc>
        <w:tc>
          <w:tcPr>
            <w:tcW w:type="dxa" w:w="11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200</w:t>
            </w:r>
          </w:p>
        </w:tc>
        <w:tc>
          <w:tcPr>
            <w:tcW w:type="dxa" w:w="15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11.9%</w:t>
            </w:r>
          </w:p>
        </w:tc>
        <w:tc>
          <w:tcPr>
            <w:tcW w:type="dxa" w:w="19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INSTRUCTOR</w:t>
            </w:r>
          </w:p>
        </w:tc>
      </w:tr>
      <w:tr>
        <w:tc>
          <w:tcPr>
            <w:tcW w:type="dxa" w:w="30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top"/>
          </w:tcPr>
          <w:p>
            <w:pPr>
              <w:spacing w:before="0" w:after="0"/>
              <w:jc w:val="left"/>
            </w:pPr>
            <w:r>
              <w:rPr>
                <w:rFonts w:ascii="Calibri" w:cs="Calibri" w:eastAsia="Calibri" w:hAnsi="Calibri"/>
                <w:b/>
                <w:bCs/>
                <w:color w:val="FFFFFF"/>
                <w:sz w:val="18"/>
                <w:szCs w:val="18"/>
              </w:rPr>
              <w:t xml:space="preserve">VERIFIED COURSE TOTAL</w:t>
            </w:r>
          </w:p>
        </w:tc>
        <w:tc>
          <w:tcPr>
            <w:tcW w:type="dxa" w:w="900"/>
            <w:gridSpan w:val="1"/>
            <w:tcBorders>
              <w:top w:val="single" w:color="DDE3EB" w:sz="4"/>
              <w:left w:val="single" w:color="DDE3EB" w:sz="4"/>
              <w:bottom w:val="single" w:color="DDE3EB" w:sz="4"/>
              <w:right w:val="single" w:color="DDE3EB" w:sz="4"/>
            </w:tcBorders>
            <w:shd w:fill="C9A84C"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8"/>
                <w:szCs w:val="18"/>
              </w:rPr>
              <w:t xml:space="preserve">45</w:t>
            </w:r>
          </w:p>
        </w:tc>
        <w:tc>
          <w:tcPr>
            <w:tcW w:type="dxa" w:w="900"/>
            <w:gridSpan w:val="1"/>
            <w:tcBorders>
              <w:top w:val="single" w:color="DDE3EB" w:sz="4"/>
              <w:left w:val="single" w:color="DDE3EB" w:sz="4"/>
              <w:bottom w:val="single" w:color="DDE3EB" w:sz="4"/>
              <w:right w:val="single" w:color="DDE3EB" w:sz="4"/>
            </w:tcBorders>
            <w:shd w:fill="C9A84C"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8"/>
                <w:szCs w:val="18"/>
              </w:rPr>
              <w:t xml:space="preserve">—</w:t>
            </w:r>
          </w:p>
        </w:tc>
        <w:tc>
          <w:tcPr>
            <w:tcW w:type="dxa" w:w="1100"/>
            <w:gridSpan w:val="1"/>
            <w:tcBorders>
              <w:top w:val="single" w:color="DDE3EB" w:sz="4"/>
              <w:left w:val="single" w:color="DDE3EB" w:sz="4"/>
              <w:bottom w:val="single" w:color="DDE3EB" w:sz="4"/>
              <w:right w:val="single" w:color="DDE3EB" w:sz="4"/>
            </w:tcBorders>
            <w:shd w:fill="C9A84C"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8"/>
                <w:szCs w:val="18"/>
              </w:rPr>
              <w:t xml:space="preserve">1,680</w:t>
            </w:r>
          </w:p>
        </w:tc>
        <w:tc>
          <w:tcPr>
            <w:tcW w:type="dxa" w:w="1560"/>
            <w:gridSpan w:val="1"/>
            <w:tcBorders>
              <w:top w:val="single" w:color="DDE3EB" w:sz="4"/>
              <w:left w:val="single" w:color="DDE3EB" w:sz="4"/>
              <w:bottom w:val="single" w:color="DDE3EB" w:sz="4"/>
              <w:right w:val="single" w:color="DDE3EB" w:sz="4"/>
            </w:tcBorders>
            <w:shd w:fill="C9A84C"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8"/>
                <w:szCs w:val="18"/>
              </w:rPr>
              <w:t xml:space="preserve">100%</w:t>
            </w:r>
          </w:p>
        </w:tc>
        <w:tc>
          <w:tcPr>
            <w:tcW w:type="dxa" w:w="19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6"/>
              <w:jc w:val="left"/>
            </w:pPr>
            <w:r>
              <w:rPr>
                <w:rFonts w:ascii="Calibri" w:cs="Calibri" w:eastAsia="Calibri" w:hAnsi="Calibri"/>
                <w:b/>
                <w:bCs/>
                <w:color w:val="1B6CA8"/>
                <w:sz w:val="16"/>
                <w:szCs w:val="16"/>
              </w:rPr>
              <w:t xml:space="preserve">AUTO: 830 pts</w:t>
            </w:r>
          </w:p>
          <w:p>
            <w:pPr>
              <w:spacing w:before="0" w:after="0"/>
              <w:jc w:val="left"/>
            </w:pPr>
            <w:r>
              <w:rPr>
                <w:rFonts w:ascii="Calibri" w:cs="Calibri" w:eastAsia="Calibri" w:hAnsi="Calibri"/>
                <w:b/>
                <w:bCs/>
                <w:color w:val="7A5C1B"/>
                <w:sz w:val="16"/>
                <w:szCs w:val="16"/>
              </w:rPr>
              <w:t xml:space="preserve">MANUAL: 850 pts</w:t>
            </w:r>
          </w:p>
        </w:tc>
      </w:tr>
    </w:tbl>
    <w:p>
      <w:pPr>
        <w:spacing w:before="60" w:after="20"/>
        <w:jc w:val="left"/>
      </w:pPr>
      <w:r>
        <w:rPr>
          <w:rFonts w:ascii="Calibri" w:cs="Calibri" w:eastAsia="Calibri" w:hAnsi="Calibri"/>
          <w:b w:val="false"/>
          <w:bCs w:val="false"/>
          <w:color w:val="1A1A2E"/>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180"/>
        <w:gridCol w:w="3180"/>
      </w:tblGrid>
      <w:tr>
        <w:tc>
          <w:tcPr>
            <w:tcW w:type="dxa" w:w="3000"/>
            <w:gridSpan w:val="1"/>
            <w:tcBorders>
              <w:top w:val="single" w:color="DDE3EB" w:sz="4"/>
              <w:left w:val="single" w:color="DDE3EB" w:sz="4"/>
              <w:bottom w:val="single" w:color="DDE3EB" w:sz="4"/>
              <w:right w:val="single" w:color="DDE3EB" w:sz="4"/>
            </w:tcBorders>
            <w:shd w:fill="1B5E2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Verification Check</w:t>
            </w:r>
          </w:p>
        </w:tc>
        <w:tc>
          <w:tcPr>
            <w:tcW w:type="dxa" w:w="3180"/>
            <w:gridSpan w:val="1"/>
            <w:tcBorders>
              <w:top w:val="single" w:color="DDE3EB" w:sz="4"/>
              <w:left w:val="single" w:color="DDE3EB" w:sz="4"/>
              <w:bottom w:val="single" w:color="DDE3EB" w:sz="4"/>
              <w:right w:val="single" w:color="DDE3EB" w:sz="4"/>
            </w:tcBorders>
            <w:shd w:fill="1B5E2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Calculation</w:t>
            </w:r>
          </w:p>
        </w:tc>
        <w:tc>
          <w:tcPr>
            <w:tcW w:type="dxa" w:w="3180"/>
            <w:gridSpan w:val="1"/>
            <w:tcBorders>
              <w:top w:val="single" w:color="DDE3EB" w:sz="4"/>
              <w:left w:val="single" w:color="DDE3EB" w:sz="4"/>
              <w:bottom w:val="single" w:color="DDE3EB" w:sz="4"/>
              <w:right w:val="single" w:color="DDE3EB" w:sz="4"/>
            </w:tcBorders>
            <w:shd w:fill="1B5E2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Result</w:t>
            </w:r>
          </w:p>
        </w:tc>
      </w:tr>
      <w:tr>
        <w:tc>
          <w:tcPr>
            <w:tcW w:type="dxa" w:w="30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Total points sum</w:t>
            </w:r>
          </w:p>
        </w:tc>
        <w:tc>
          <w:tcPr>
            <w:tcW w:type="dxa" w:w="31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4A5568"/>
                <w:sz w:val="17"/>
                <w:szCs w:val="17"/>
              </w:rPr>
              <w:t xml:space="preserve">160+160+160+50+200+50+50+400+50+100+100+200</w:t>
            </w:r>
          </w:p>
        </w:tc>
        <w:tc>
          <w:tcPr>
            <w:tcW w:type="dxa" w:w="318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 1,680 pts ✓</w:t>
            </w:r>
          </w:p>
        </w:tc>
      </w:tr>
      <w:tr>
        <w:tc>
          <w:tcPr>
            <w:tcW w:type="dxa" w:w="30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Auto-graded total</w:t>
            </w:r>
          </w:p>
        </w:tc>
        <w:tc>
          <w:tcPr>
            <w:tcW w:type="dxa" w:w="31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4A5568"/>
                <w:sz w:val="17"/>
                <w:szCs w:val="17"/>
              </w:rPr>
              <w:t xml:space="preserve">160+160+160+50+200+50+50</w:t>
            </w:r>
          </w:p>
        </w:tc>
        <w:tc>
          <w:tcPr>
            <w:tcW w:type="dxa" w:w="318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 830 pts ✓</w:t>
            </w:r>
          </w:p>
        </w:tc>
      </w:tr>
      <w:tr>
        <w:tc>
          <w:tcPr>
            <w:tcW w:type="dxa" w:w="30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Instructor-graded total</w:t>
            </w:r>
          </w:p>
        </w:tc>
        <w:tc>
          <w:tcPr>
            <w:tcW w:type="dxa" w:w="31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4A5568"/>
                <w:sz w:val="17"/>
                <w:szCs w:val="17"/>
              </w:rPr>
              <w:t xml:space="preserve">400+50+100+100+200</w:t>
            </w:r>
          </w:p>
        </w:tc>
        <w:tc>
          <w:tcPr>
            <w:tcW w:type="dxa" w:w="318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 850 pts ✓</w:t>
            </w:r>
          </w:p>
        </w:tc>
      </w:tr>
      <w:tr>
        <w:tc>
          <w:tcPr>
            <w:tcW w:type="dxa" w:w="30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Auto % of total</w:t>
            </w:r>
          </w:p>
        </w:tc>
        <w:tc>
          <w:tcPr>
            <w:tcW w:type="dxa" w:w="31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4A5568"/>
                <w:sz w:val="17"/>
                <w:szCs w:val="17"/>
              </w:rPr>
              <w:t xml:space="preserve">830 ÷ 1,680</w:t>
            </w:r>
          </w:p>
        </w:tc>
        <w:tc>
          <w:tcPr>
            <w:tcW w:type="dxa" w:w="318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 49.4% (rounds to 49%) ✓</w:t>
            </w:r>
          </w:p>
        </w:tc>
      </w:tr>
      <w:tr>
        <w:tc>
          <w:tcPr>
            <w:tcW w:type="dxa" w:w="30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Instructor % of total</w:t>
            </w:r>
          </w:p>
        </w:tc>
        <w:tc>
          <w:tcPr>
            <w:tcW w:type="dxa" w:w="31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4A5568"/>
                <w:sz w:val="17"/>
                <w:szCs w:val="17"/>
              </w:rPr>
              <w:t xml:space="preserve">850 ÷ 1,680</w:t>
            </w:r>
          </w:p>
        </w:tc>
        <w:tc>
          <w:tcPr>
            <w:tcW w:type="dxa" w:w="318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 50.6% (rounds to 51%) ✓</w:t>
            </w:r>
          </w:p>
        </w:tc>
      </w:tr>
      <w:tr>
        <w:tc>
          <w:tcPr>
            <w:tcW w:type="dxa" w:w="30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Auto + Instructor</w:t>
            </w:r>
          </w:p>
        </w:tc>
        <w:tc>
          <w:tcPr>
            <w:tcW w:type="dxa" w:w="31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4A5568"/>
                <w:sz w:val="17"/>
                <w:szCs w:val="17"/>
              </w:rPr>
              <w:t xml:space="preserve">830 + 850</w:t>
            </w:r>
          </w:p>
        </w:tc>
        <w:tc>
          <w:tcPr>
            <w:tcW w:type="dxa" w:w="318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 1,680 ✓</w:t>
            </w:r>
          </w:p>
        </w:tc>
      </w:tr>
      <w:tr>
        <w:tc>
          <w:tcPr>
            <w:tcW w:type="dxa" w:w="30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Total assessments</w:t>
            </w:r>
          </w:p>
        </w:tc>
        <w:tc>
          <w:tcPr>
            <w:tcW w:type="dxa" w:w="31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4A5568"/>
                <w:sz w:val="17"/>
                <w:szCs w:val="17"/>
              </w:rPr>
              <w:t xml:space="preserve">45 individual graded items (26 activities + 10 quizzes/exams + 4 DBs + 5 portfolio)</w:t>
            </w:r>
          </w:p>
        </w:tc>
        <w:tc>
          <w:tcPr>
            <w:tcW w:type="dxa" w:w="318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 Verified ✓</w:t>
            </w:r>
          </w:p>
        </w:tc>
      </w:tr>
      <w:tr>
        <w:tc>
          <w:tcPr>
            <w:tcW w:type="dxa" w:w="30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QM Essential Standards</w:t>
            </w:r>
          </w:p>
        </w:tc>
        <w:tc>
          <w:tcPr>
            <w:tcW w:type="dxa" w:w="31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4A5568"/>
                <w:sz w:val="17"/>
                <w:szCs w:val="17"/>
              </w:rPr>
              <w:t xml:space="preserve">22 of 22 Essential Standards from QM 7th Edition</w:t>
            </w:r>
          </w:p>
        </w:tc>
        <w:tc>
          <w:tcPr>
            <w:tcW w:type="dxa" w:w="318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 22/22 ✓</w:t>
            </w:r>
          </w:p>
        </w:tc>
      </w:tr>
    </w:tbl>
    <w:p>
      <w:pPr>
        <w:spacing w:before="60" w:after="20"/>
        <w:jc w:val="left"/>
      </w:pPr>
      <w:r>
        <w:rPr>
          <w:rFonts w:ascii="Calibri" w:cs="Calibri" w:eastAsia="Calibri" w:hAnsi="Calibri"/>
          <w:b w:val="false"/>
          <w:bCs w:val="false"/>
          <w:color w:val="1A1A2E"/>
          <w:sz w:val="20"/>
          <w:szCs w:val="20"/>
        </w:rPr>
        <w:t xml:space="preserve"/>
      </w:r>
    </w:p>
    <w:p>
      <w:pPr>
        <w:pBdr>
          <w:bottom w:val="single" w:color="1B6CA8" w:sz="6"/>
        </w:pBdr>
        <w:spacing w:before="120" w:after="50"/>
      </w:pPr>
      <w:r>
        <w:rPr>
          <w:rFonts w:ascii="Calibri" w:cs="Calibri" w:eastAsia="Calibri" w:hAnsi="Calibri"/>
          <w:b/>
          <w:bCs/>
          <w:color w:val="1B6CA8"/>
          <w:sz w:val="21"/>
          <w:szCs w:val="21"/>
        </w:rPr>
        <w:t xml:space="preserve">The Three-Rubric Model — Why Simplicity Is a Feature</w:t>
      </w:r>
    </w:p>
    <w:p>
      <w:pPr>
        <w:spacing w:before="40" w:after="40"/>
        <w:jc w:val="left"/>
      </w:pPr>
      <w:r>
        <w:rPr>
          <w:rFonts w:ascii="Calibri" w:cs="Calibri" w:eastAsia="Calibri" w:hAnsi="Calibri"/>
          <w:b w:val="false"/>
          <w:bCs w:val="false"/>
          <w:color w:val="1A1A2E"/>
          <w:sz w:val="19"/>
          <w:szCs w:val="19"/>
        </w:rPr>
        <w:t xml:space="preserve">Most online courses suffer from rubric proliferation — a different rubric for every assignment, often contradicting each other and impossible for students to internalize. Both HIS-131 and HIS-132 use exactly three rubrics for the entire course.</w:t>
      </w:r>
    </w:p>
    <w:p>
      <w:pPr>
        <w:spacing w:before="20" w:after="10"/>
        <w:jc w:val="left"/>
      </w:pPr>
      <w:r>
        <w:rPr>
          <w:rFonts w:ascii="Calibri" w:cs="Calibri" w:eastAsia="Calibri" w:hAnsi="Calibri"/>
          <w:b w:val="false"/>
          <w:bCs w:val="false"/>
          <w:color w:val="1A1A2E"/>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200"/>
        <w:gridCol w:w="2680"/>
        <w:gridCol w:w="2680"/>
      </w:tblGrid>
      <w:tr>
        <w:tc>
          <w:tcPr>
            <w:tcW w:type="dxa" w:w="18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Rubric</w:t>
            </w:r>
          </w:p>
        </w:tc>
        <w:tc>
          <w:tcPr>
            <w:tcW w:type="dxa" w:w="22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Applies To</w:t>
            </w:r>
          </w:p>
        </w:tc>
        <w:tc>
          <w:tcPr>
            <w:tcW w:type="dxa" w:w="268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What It Measures</w:t>
            </w:r>
          </w:p>
        </w:tc>
        <w:tc>
          <w:tcPr>
            <w:tcW w:type="dxa" w:w="268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Why Only One Rubric for These Tasks</w:t>
            </w:r>
          </w:p>
        </w:tc>
      </w:tr>
      <w:tr>
        <w:tc>
          <w:tcPr>
            <w:tcW w:type="dxa" w:w="18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Discussion Board Rubric</w:t>
            </w:r>
          </w:p>
        </w:tc>
        <w:tc>
          <w:tcPr>
            <w:tcW w:type="dxa" w:w="22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All 4 DBs across the entire course (400 pts total)</w:t>
            </w:r>
          </w:p>
        </w:tc>
        <w:tc>
          <w:tcPr>
            <w:tcW w:type="dxa" w:w="26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Historical thinking quality, use of evidence, engagement with peers, response depth</w:t>
            </w:r>
          </w:p>
        </w:tc>
        <w:tc>
          <w:tcPr>
            <w:tcW w:type="dxa" w:w="268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Students learn one standard and get progressively better at it. Instructor grades 4 boards using identical criteria — consistency and fairness increase with each iteration.</w:t>
            </w:r>
          </w:p>
        </w:tc>
      </w:tr>
      <w:tr>
        <w:tc>
          <w:tcPr>
            <w:tcW w:type="dxa" w:w="18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Portfolio Piece Rubric</w:t>
            </w:r>
          </w:p>
        </w:tc>
        <w:tc>
          <w:tcPr>
            <w:tcW w:type="dxa" w:w="22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All 4 portfolio checkpoints + final (450 pts total)</w:t>
            </w:r>
          </w:p>
        </w:tc>
        <w:tc>
          <w:tcPr>
            <w:tcW w:type="dxa" w:w="26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Argument quality, evidence use, historical context, revision of prior feedback</w:t>
            </w:r>
          </w:p>
        </w:tc>
        <w:tc>
          <w:tcPr>
            <w:tcW w:type="dxa" w:w="268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Scaffolded rubric: same criteria across 5 submissions means students can see growth. Instructor uses same lens across all — no relearning the rubric between assignments.</w:t>
            </w:r>
          </w:p>
        </w:tc>
      </w:tr>
      <w:tr>
        <w:tc>
          <w:tcPr>
            <w:tcW w:type="dxa" w:w="18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Short-Answer / Exam Rubric</w:t>
            </w:r>
          </w:p>
        </w:tc>
        <w:tc>
          <w:tcPr>
            <w:tcW w:type="dxa" w:w="22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Midterm, Final, any open-response quiz items</w:t>
            </w:r>
          </w:p>
        </w:tc>
        <w:tc>
          <w:tcPr>
            <w:tcW w:type="dxa" w:w="26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Factual accuracy, contextualization, identification of significance</w:t>
            </w:r>
          </w:p>
        </w:tc>
        <w:tc>
          <w:tcPr>
            <w:tcW w:type="dxa" w:w="268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Familiar standard removes 'rubric anxiety' from exam prep. Students know exactly what 'full credit' looks like before they sit the exam.</w:t>
            </w:r>
          </w:p>
        </w:tc>
      </w:tr>
    </w:tbl>
    <w:p>
      <w:pPr>
        <w:spacing w:before="60" w:after="20"/>
        <w:jc w:val="left"/>
      </w:pPr>
      <w:r>
        <w:rPr>
          <w:rFonts w:ascii="Calibri" w:cs="Calibri" w:eastAsia="Calibri" w:hAnsi="Calibri"/>
          <w:b w:val="false"/>
          <w:bCs w:val="false"/>
          <w:color w:val="1A1A2E"/>
          <w:sz w:val="20"/>
          <w:szCs w:val="20"/>
        </w:rPr>
        <w:t xml:space="preserve"/>
      </w:r>
    </w:p>
    <w:p>
      <w:pPr>
        <w:shd w:fill="E8F5EC" w:val="clear"/>
        <w:spacing w:before="60" w:after="60"/>
      </w:pPr>
      <w:r>
        <w:rPr>
          <w:rFonts w:ascii="Calibri" w:cs="Calibri" w:eastAsia="Calibri" w:hAnsi="Calibri"/>
          <w:b w:val="false"/>
          <w:bCs w:val="false"/>
          <w:color w:val="1B5E2C"/>
          <w:sz w:val="18"/>
          <w:szCs w:val="18"/>
        </w:rPr>
        <w:t xml:space="preserve">  Fewer rubrics = lower cognitive load for students, faster grading for instructors, more consistent feedback, and easier QM alignment documentation. Three rubrics, 1,680 points, 45 assessments. That is instructional design.</w:t>
      </w:r>
    </w:p>
    <w:p>
      <w:r>
        <w:br w:type="page"/>
      </w:r>
    </w:p>
    <w:p>
      <w:pPr>
        <w:shd w:fill="7A5C1B" w:val="clear"/>
        <w:spacing w:before="160" w:after="70"/>
      </w:pPr>
      <w:r>
        <w:rPr>
          <w:rFonts w:ascii="Calibri" w:cs="Calibri" w:eastAsia="Calibri" w:hAnsi="Calibri"/>
          <w:b/>
          <w:bCs/>
          <w:color w:val="FFFFFF"/>
          <w:sz w:val="21"/>
          <w:szCs w:val="21"/>
        </w:rPr>
        <w:t xml:space="preserve">  SECTION 3  |  Anticipated Faculty Questions  |  Prepared Responses</w:t>
      </w:r>
    </w:p>
    <w:p>
      <w:pPr>
        <w:spacing w:before="40" w:after="40"/>
        <w:jc w:val="left"/>
      </w:pPr>
      <w:r>
        <w:rPr>
          <w:rFonts w:ascii="Calibri" w:cs="Calibri" w:eastAsia="Calibri" w:hAnsi="Calibri"/>
          <w:b w:val="false"/>
          <w:bCs w:val="false"/>
          <w:color w:val="1A1A2E"/>
          <w:sz w:val="19"/>
          <w:szCs w:val="19"/>
        </w:rPr>
        <w:t xml:space="preserve">These questions are drawn from patterns in online faculty development, QM implementation projects, and instructional design adoption research. Responses are calibrated to be honest, collegial, and grounded in evidence — not defensive.</w:t>
      </w:r>
    </w:p>
    <w:p>
      <w:pPr>
        <w:spacing w:before="20" w:after="10"/>
        <w:jc w:val="left"/>
      </w:pPr>
      <w:r>
        <w:rPr>
          <w:rFonts w:ascii="Calibri" w:cs="Calibri" w:eastAsia="Calibri" w:hAnsi="Calibri"/>
          <w:b w:val="false"/>
          <w:bCs w:val="false"/>
          <w:color w:val="1A1A2E"/>
          <w:sz w:val="20"/>
          <w:szCs w:val="20"/>
        </w:rPr>
        <w:t xml:space="preserve"/>
      </w:r>
    </w:p>
    <w:p>
      <w:pPr>
        <w:shd w:fill="6B1B1B" w:val="clear"/>
        <w:spacing w:before="140" w:after="0"/>
      </w:pPr>
      <w:r>
        <w:rPr>
          <w:rFonts w:ascii="Calibri" w:cs="Calibri" w:eastAsia="Calibri" w:hAnsi="Calibri"/>
          <w:b/>
          <w:bCs/>
          <w:color w:val="FFFFFF"/>
          <w:sz w:val="19"/>
          <w:szCs w:val="19"/>
        </w:rPr>
        <w:t xml:space="preserve">  Q1: "This looks like it was just generated by AI. Did you actually design this?"</w:t>
      </w:r>
    </w:p>
    <w:p>
      <w:pPr>
        <w:shd w:fill="FBF0F0" w:val="clear"/>
        <w:spacing w:before="0" w:after="0"/>
      </w:pPr>
      <w:r>
        <w:rPr>
          <w:rFonts w:ascii="Calibri" w:cs="Calibri" w:eastAsia="Calibri" w:hAnsi="Calibri"/>
          <w:b/>
          <w:bCs/>
          <w:color w:val="1A1A2E"/>
          <w:sz w:val="18"/>
          <w:szCs w:val="18"/>
        </w:rPr>
        <w:t xml:space="preserve">  Response:</w:t>
      </w:r>
    </w:p>
    <w:p>
      <w:pPr>
        <w:shd w:fill="FBF0F0" w:val="clear"/>
        <w:spacing w:before="60" w:after="40"/>
        <w:ind w:left="200"/>
      </w:pPr>
      <w:r>
        <w:rPr>
          <w:rFonts w:ascii="Calibri" w:cs="Calibri" w:eastAsia="Calibri" w:hAnsi="Calibri"/>
          <w:b w:val="false"/>
          <w:bCs w:val="false"/>
          <w:color w:val="1A1A2E"/>
          <w:sz w:val="18"/>
          <w:szCs w:val="18"/>
        </w:rPr>
        <w:t xml:space="preserve">This is the most important question to address head-on, and the honest answer is: AI was one tool in a deliberate design process — the same way Excel is a tool for budget analysis or PowerPoint is a tool for presentations. The intellectual architecture of this framework — the four-phase cycle, the three-rubric model, the 49/51 split rationale, the RSI touchpoint documentation, the QM crosswalk — was designed by an instructional designer with 20+ years of experience and four QM certifications. AI tools (like any productivity tool) accelerated the production of documentation and formatting. They did not replace the pedagogical decisions.
To put it another way: a surgeon who uses robotic-assisted surgery didn't 'just let the robot operate.' The tool is in service of expertise, not a substitute for it. The QM certification process validates the design — peer reviewers evaluate the course itself, not the tools used to document it.</w:t>
      </w:r>
    </w:p>
    <w:p>
      <w:pPr>
        <w:shd w:fill="FBF0F0" w:val="clear"/>
        <w:spacing w:before="20" w:after="20"/>
        <w:ind w:left="200"/>
      </w:pPr>
      <w:r>
        <w:rPr>
          <w:rFonts w:ascii="Calibri" w:cs="Calibri" w:eastAsia="Calibri" w:hAnsi="Calibri"/>
          <w:b/>
          <w:bCs/>
          <w:color w:val="6B1B1B"/>
          <w:sz w:val="17"/>
          <w:szCs w:val="17"/>
        </w:rPr>
        <w:t xml:space="preserve">Supporting Evidence:</w:t>
      </w:r>
    </w:p>
    <w:p>
      <w:pPr>
        <w:pStyle w:val="ListParagraph"/>
        <w:numPr>
          <w:ilvl w:val="1"/>
          <w:numId w:val="2"/>
        </w:numPr>
        <w:shd w:fill="FBF0F0" w:val="clear"/>
        <w:spacing w:before="16" w:after="16"/>
      </w:pPr>
      <w:r>
        <w:rPr>
          <w:rFonts w:ascii="Calibri" w:cs="Calibri" w:eastAsia="Calibri" w:hAnsi="Calibri"/>
          <w:b w:val="false"/>
          <w:bCs w:val="false"/>
          <w:color w:val="4A5568"/>
          <w:sz w:val="17"/>
          <w:szCs w:val="17"/>
        </w:rPr>
        <w:t xml:space="preserve">20+ years of instructional design experience and four QM certifications inform every structural decision in this framework</w:t>
      </w:r>
    </w:p>
    <w:p>
      <w:pPr>
        <w:pStyle w:val="ListParagraph"/>
        <w:numPr>
          <w:ilvl w:val="1"/>
          <w:numId w:val="2"/>
        </w:numPr>
        <w:shd w:fill="FBF0F0" w:val="clear"/>
        <w:spacing w:before="16" w:after="16"/>
      </w:pPr>
      <w:r>
        <w:rPr>
          <w:rFonts w:ascii="Calibri" w:cs="Calibri" w:eastAsia="Calibri" w:hAnsi="Calibri"/>
          <w:b w:val="false"/>
          <w:bCs w:val="false"/>
          <w:color w:val="4A5568"/>
          <w:sz w:val="17"/>
          <w:szCs w:val="17"/>
        </w:rPr>
        <w:t xml:space="preserve">The four-phase model (Learn→Practice→Apply→Assess) is grounded in Bloom's Taxonomy, backward design theory, and QM 7th Edition standards — all of which require disciplinary expertise to apply correctly</w:t>
      </w:r>
    </w:p>
    <w:p>
      <w:pPr>
        <w:pStyle w:val="ListParagraph"/>
        <w:numPr>
          <w:ilvl w:val="1"/>
          <w:numId w:val="2"/>
        </w:numPr>
        <w:shd w:fill="FBF0F0" w:val="clear"/>
        <w:spacing w:before="16" w:after="16"/>
      </w:pPr>
      <w:r>
        <w:rPr>
          <w:rFonts w:ascii="Calibri" w:cs="Calibri" w:eastAsia="Calibri" w:hAnsi="Calibri"/>
          <w:b w:val="false"/>
          <w:bCs w:val="false"/>
          <w:color w:val="4A5568"/>
          <w:sz w:val="17"/>
          <w:szCs w:val="17"/>
        </w:rPr>
        <w:t xml:space="preserve">Any faculty member is welcome to review the full design rationale documentation, which predates and exceeds what any AI tool could produce without human expertise directing it</w:t>
      </w:r>
    </w:p>
    <w:p>
      <w:pPr>
        <w:pStyle w:val="ListParagraph"/>
        <w:numPr>
          <w:ilvl w:val="1"/>
          <w:numId w:val="2"/>
        </w:numPr>
        <w:shd w:fill="FBF0F0" w:val="clear"/>
        <w:spacing w:before="16" w:after="16"/>
      </w:pPr>
      <w:r>
        <w:rPr>
          <w:rFonts w:ascii="Calibri" w:cs="Calibri" w:eastAsia="Calibri" w:hAnsi="Calibri"/>
          <w:b w:val="false"/>
          <w:bCs w:val="false"/>
          <w:color w:val="4A5568"/>
          <w:sz w:val="17"/>
          <w:szCs w:val="17"/>
        </w:rPr>
        <w:t xml:space="preserve">AI tools were used for document formatting and production — the same way faculty use Word templates, auto-formatting, and Grammarly without being accused of not writing their own syllabi</w:t>
      </w:r>
    </w:p>
    <w:p>
      <w:pPr>
        <w:spacing w:before="20" w:after="10"/>
        <w:jc w:val="left"/>
      </w:pPr>
      <w:r>
        <w:rPr>
          <w:rFonts w:ascii="Calibri" w:cs="Calibri" w:eastAsia="Calibri" w:hAnsi="Calibri"/>
          <w:b w:val="false"/>
          <w:bCs w:val="false"/>
          <w:color w:val="1A1A2E"/>
          <w:sz w:val="20"/>
          <w:szCs w:val="20"/>
        </w:rPr>
        <w:t xml:space="preserve"/>
      </w:r>
    </w:p>
    <w:p>
      <w:pPr>
        <w:shd w:fill="1B6CA8" w:val="clear"/>
        <w:spacing w:before="140" w:after="0"/>
      </w:pPr>
      <w:r>
        <w:rPr>
          <w:rFonts w:ascii="Calibri" w:cs="Calibri" w:eastAsia="Calibri" w:hAnsi="Calibri"/>
          <w:b/>
          <w:bCs/>
          <w:color w:val="FFFFFF"/>
          <w:sz w:val="19"/>
          <w:szCs w:val="19"/>
        </w:rPr>
        <w:t xml:space="preserve">  Q2: "How long did this actually take to build?"</w:t>
      </w:r>
    </w:p>
    <w:p>
      <w:pPr>
        <w:shd w:fill="E8F1F8" w:val="clear"/>
        <w:spacing w:before="0" w:after="0"/>
      </w:pPr>
      <w:r>
        <w:rPr>
          <w:rFonts w:ascii="Calibri" w:cs="Calibri" w:eastAsia="Calibri" w:hAnsi="Calibri"/>
          <w:b/>
          <w:bCs/>
          <w:color w:val="1A1A2E"/>
          <w:sz w:val="18"/>
          <w:szCs w:val="18"/>
        </w:rPr>
        <w:t xml:space="preserve">  Response:</w:t>
      </w:r>
    </w:p>
    <w:p>
      <w:pPr>
        <w:shd w:fill="E8F1F8" w:val="clear"/>
        <w:spacing w:before="60" w:after="40"/>
        <w:ind w:left="200"/>
      </w:pPr>
      <w:r>
        <w:rPr>
          <w:rFonts w:ascii="Calibri" w:cs="Calibri" w:eastAsia="Calibri" w:hAnsi="Calibri"/>
          <w:b w:val="false"/>
          <w:bCs w:val="false"/>
          <w:color w:val="1A1A2E"/>
          <w:sz w:val="18"/>
          <w:szCs w:val="18"/>
        </w:rPr>
        <w:t xml:space="preserve">The honest answer is: a lot. But the structure is designed so that the second course takes a fraction of the time of the first, and subsequent courses are even faster. See Section 4 for the full time analysis.</w:t>
      </w:r>
    </w:p>
    <w:p>
      <w:pPr>
        <w:shd w:fill="E8F1F8" w:val="clear"/>
        <w:spacing w:before="20" w:after="20"/>
        <w:ind w:left="200"/>
      </w:pPr>
      <w:r>
        <w:rPr>
          <w:rFonts w:ascii="Calibri" w:cs="Calibri" w:eastAsia="Calibri" w:hAnsi="Calibri"/>
          <w:b/>
          <w:bCs/>
          <w:color w:val="1B6CA8"/>
          <w:sz w:val="17"/>
          <w:szCs w:val="17"/>
        </w:rPr>
        <w:t xml:space="preserve">Supporting Evidence:</w:t>
      </w:r>
    </w:p>
    <w:p>
      <w:pPr>
        <w:pStyle w:val="ListParagraph"/>
        <w:numPr>
          <w:ilvl w:val="1"/>
          <w:numId w:val="2"/>
        </w:numPr>
        <w:shd w:fill="E8F1F8" w:val="clear"/>
        <w:spacing w:before="16" w:after="16"/>
      </w:pPr>
      <w:r>
        <w:rPr>
          <w:rFonts w:ascii="Calibri" w:cs="Calibri" w:eastAsia="Calibri" w:hAnsi="Calibri"/>
          <w:b w:val="false"/>
          <w:bCs w:val="false"/>
          <w:color w:val="4A5568"/>
          <w:sz w:val="17"/>
          <w:szCs w:val="17"/>
        </w:rPr>
        <w:t xml:space="preserve">HIS-131 from scratch: approximately 120+ hours across content mapping, activity design, QM alignment, Canvas build, and documentation</w:t>
      </w:r>
    </w:p>
    <w:p>
      <w:pPr>
        <w:pStyle w:val="ListParagraph"/>
        <w:numPr>
          <w:ilvl w:val="1"/>
          <w:numId w:val="2"/>
        </w:numPr>
        <w:shd w:fill="E8F1F8" w:val="clear"/>
        <w:spacing w:before="16" w:after="16"/>
      </w:pPr>
      <w:r>
        <w:rPr>
          <w:rFonts w:ascii="Calibri" w:cs="Calibri" w:eastAsia="Calibri" w:hAnsi="Calibri"/>
          <w:b w:val="false"/>
          <w:bCs w:val="false"/>
          <w:color w:val="4A5568"/>
          <w:sz w:val="17"/>
          <w:szCs w:val="17"/>
        </w:rPr>
        <w:t xml:space="preserve">HIS-132 reusing the framework: approximately 60-70 hours — same structure, different content</w:t>
      </w:r>
    </w:p>
    <w:p>
      <w:pPr>
        <w:pStyle w:val="ListParagraph"/>
        <w:numPr>
          <w:ilvl w:val="1"/>
          <w:numId w:val="2"/>
        </w:numPr>
        <w:shd w:fill="E8F1F8" w:val="clear"/>
        <w:spacing w:before="16" w:after="16"/>
      </w:pPr>
      <w:r>
        <w:rPr>
          <w:rFonts w:ascii="Calibri" w:cs="Calibri" w:eastAsia="Calibri" w:hAnsi="Calibri"/>
          <w:b w:val="false"/>
          <w:bCs w:val="false"/>
          <w:color w:val="4A5568"/>
          <w:sz w:val="17"/>
          <w:szCs w:val="17"/>
        </w:rPr>
        <w:t xml:space="preserve">A faculty member using the HQCDP template with support: estimated 30-40 hours with coaching</w:t>
      </w:r>
    </w:p>
    <w:p>
      <w:pPr>
        <w:pStyle w:val="ListParagraph"/>
        <w:numPr>
          <w:ilvl w:val="1"/>
          <w:numId w:val="2"/>
        </w:numPr>
        <w:shd w:fill="E8F1F8" w:val="clear"/>
        <w:spacing w:before="16" w:after="16"/>
      </w:pPr>
      <w:r>
        <w:rPr>
          <w:rFonts w:ascii="Calibri" w:cs="Calibri" w:eastAsia="Calibri" w:hAnsi="Calibri"/>
          <w:b w:val="false"/>
          <w:bCs w:val="false"/>
          <w:color w:val="4A5568"/>
          <w:sz w:val="17"/>
          <w:szCs w:val="17"/>
        </w:rPr>
        <w:t xml:space="preserve">A faculty member using the Canvas Master Course Shell: estimated 15-20 hours of adaptation work</w:t>
      </w:r>
    </w:p>
    <w:p>
      <w:pPr>
        <w:spacing w:before="20" w:after="10"/>
        <w:jc w:val="left"/>
      </w:pPr>
      <w:r>
        <w:rPr>
          <w:rFonts w:ascii="Calibri" w:cs="Calibri" w:eastAsia="Calibri" w:hAnsi="Calibri"/>
          <w:b w:val="false"/>
          <w:bCs w:val="false"/>
          <w:color w:val="1A1A2E"/>
          <w:sz w:val="20"/>
          <w:szCs w:val="20"/>
        </w:rPr>
        <w:t xml:space="preserve"/>
      </w:r>
    </w:p>
    <w:p>
      <w:pPr>
        <w:shd w:fill="7A5C1B" w:val="clear"/>
        <w:spacing w:before="140" w:after="0"/>
      </w:pPr>
      <w:r>
        <w:rPr>
          <w:rFonts w:ascii="Calibri" w:cs="Calibri" w:eastAsia="Calibri" w:hAnsi="Calibri"/>
          <w:b/>
          <w:bCs/>
          <w:color w:val="FFFFFF"/>
          <w:sz w:val="19"/>
          <w:szCs w:val="19"/>
        </w:rPr>
        <w:t xml:space="preserve">  Q3: "I already have a course. Why would I rebuild it?"</w:t>
      </w:r>
    </w:p>
    <w:p>
      <w:pPr>
        <w:shd w:fill="FDF5E0" w:val="clear"/>
        <w:spacing w:before="0" w:after="0"/>
      </w:pPr>
      <w:r>
        <w:rPr>
          <w:rFonts w:ascii="Calibri" w:cs="Calibri" w:eastAsia="Calibri" w:hAnsi="Calibri"/>
          <w:b/>
          <w:bCs/>
          <w:color w:val="1A1A2E"/>
          <w:sz w:val="18"/>
          <w:szCs w:val="18"/>
        </w:rPr>
        <w:t xml:space="preserve">  Response:</w:t>
      </w:r>
    </w:p>
    <w:p>
      <w:pPr>
        <w:shd w:fill="FDF5E0" w:val="clear"/>
        <w:spacing w:before="60" w:after="40"/>
        <w:ind w:left="200"/>
      </w:pPr>
      <w:r>
        <w:rPr>
          <w:rFonts w:ascii="Calibri" w:cs="Calibri" w:eastAsia="Calibri" w:hAnsi="Calibri"/>
          <w:b w:val="false"/>
          <w:bCs w:val="false"/>
          <w:color w:val="1A1A2E"/>
          <w:sz w:val="18"/>
          <w:szCs w:val="18"/>
        </w:rPr>
        <w:t xml:space="preserve">You probably don't need to rebuild — you need to realign. Most existing courses have good content. What the HQCDP framework provides is a consistent structure that makes that content more accessible, more assessable, and more defensible in quality reviews. In most cases, we are talking about reorganizing what already exists, not replacing it.</w:t>
      </w:r>
    </w:p>
    <w:p>
      <w:pPr>
        <w:shd w:fill="FDF5E0" w:val="clear"/>
        <w:spacing w:before="20" w:after="20"/>
        <w:ind w:left="200"/>
      </w:pPr>
      <w:r>
        <w:rPr>
          <w:rFonts w:ascii="Calibri" w:cs="Calibri" w:eastAsia="Calibri" w:hAnsi="Calibri"/>
          <w:b/>
          <w:bCs/>
          <w:color w:val="7A5C1B"/>
          <w:sz w:val="17"/>
          <w:szCs w:val="17"/>
        </w:rPr>
        <w:t xml:space="preserve">Supporting Evidence:</w:t>
      </w:r>
    </w:p>
    <w:p>
      <w:pPr>
        <w:pStyle w:val="ListParagraph"/>
        <w:numPr>
          <w:ilvl w:val="1"/>
          <w:numId w:val="2"/>
        </w:numPr>
        <w:shd w:fill="FDF5E0" w:val="clear"/>
        <w:spacing w:before="16" w:after="16"/>
      </w:pPr>
      <w:r>
        <w:rPr>
          <w:rFonts w:ascii="Calibri" w:cs="Calibri" w:eastAsia="Calibri" w:hAnsi="Calibri"/>
          <w:b w:val="false"/>
          <w:bCs w:val="false"/>
          <w:color w:val="4A5568"/>
          <w:sz w:val="17"/>
          <w:szCs w:val="17"/>
        </w:rPr>
        <w:t xml:space="preserve">Course Retrofit Process: existing content maps to the Learn phase; existing assessments map to Assess; the framework adds Practice (auto-graded LAs) and clarifies Apply (DBs or projects)</w:t>
      </w:r>
    </w:p>
    <w:p>
      <w:pPr>
        <w:pStyle w:val="ListParagraph"/>
        <w:numPr>
          <w:ilvl w:val="1"/>
          <w:numId w:val="2"/>
        </w:numPr>
        <w:shd w:fill="FDF5E0" w:val="clear"/>
        <w:spacing w:before="16" w:after="16"/>
      </w:pPr>
      <w:r>
        <w:rPr>
          <w:rFonts w:ascii="Calibri" w:cs="Calibri" w:eastAsia="Calibri" w:hAnsi="Calibri"/>
          <w:b w:val="false"/>
          <w:bCs w:val="false"/>
          <w:color w:val="4A5568"/>
          <w:sz w:val="17"/>
          <w:szCs w:val="17"/>
        </w:rPr>
        <w:t xml:space="preserve">Most faculty already have quizzes, discussions, and assignments — the framework makes the relationships between them explicit and intentional</w:t>
      </w:r>
    </w:p>
    <w:p>
      <w:pPr>
        <w:pStyle w:val="ListParagraph"/>
        <w:numPr>
          <w:ilvl w:val="1"/>
          <w:numId w:val="2"/>
        </w:numPr>
        <w:shd w:fill="FDF5E0" w:val="clear"/>
        <w:spacing w:before="16" w:after="16"/>
      </w:pPr>
      <w:r>
        <w:rPr>
          <w:rFonts w:ascii="Calibri" w:cs="Calibri" w:eastAsia="Calibri" w:hAnsi="Calibri"/>
          <w:b w:val="false"/>
          <w:bCs w:val="false"/>
          <w:color w:val="4A5568"/>
          <w:sz w:val="17"/>
          <w:szCs w:val="17"/>
        </w:rPr>
        <w:t xml:space="preserve">QM does not require you to rebuild your content; it requires you to document the alignment between your objectives, materials, and assessments</w:t>
      </w:r>
    </w:p>
    <w:p>
      <w:pPr>
        <w:spacing w:before="20" w:after="10"/>
        <w:jc w:val="left"/>
      </w:pPr>
      <w:r>
        <w:rPr>
          <w:rFonts w:ascii="Calibri" w:cs="Calibri" w:eastAsia="Calibri" w:hAnsi="Calibri"/>
          <w:b w:val="false"/>
          <w:bCs w:val="false"/>
          <w:color w:val="1A1A2E"/>
          <w:sz w:val="20"/>
          <w:szCs w:val="20"/>
        </w:rPr>
        <w:t xml:space="preserve"/>
      </w:r>
    </w:p>
    <w:p>
      <w:pPr>
        <w:shd w:fill="1B5E2C" w:val="clear"/>
        <w:spacing w:before="140" w:after="0"/>
      </w:pPr>
      <w:r>
        <w:rPr>
          <w:rFonts w:ascii="Calibri" w:cs="Calibri" w:eastAsia="Calibri" w:hAnsi="Calibri"/>
          <w:b/>
          <w:bCs/>
          <w:color w:val="FFFFFF"/>
          <w:sz w:val="19"/>
          <w:szCs w:val="19"/>
        </w:rPr>
        <w:t xml:space="preserve">  Q4: "My discipline doesn't work this way. History and Humanities are different from my subject."</w:t>
      </w:r>
    </w:p>
    <w:p>
      <w:pPr>
        <w:shd w:fill="E8F5EC" w:val="clear"/>
        <w:spacing w:before="0" w:after="0"/>
      </w:pPr>
      <w:r>
        <w:rPr>
          <w:rFonts w:ascii="Calibri" w:cs="Calibri" w:eastAsia="Calibri" w:hAnsi="Calibri"/>
          <w:b/>
          <w:bCs/>
          <w:color w:val="1A1A2E"/>
          <w:sz w:val="18"/>
          <w:szCs w:val="18"/>
        </w:rPr>
        <w:t xml:space="preserve">  Response:</w:t>
      </w:r>
    </w:p>
    <w:p>
      <w:pPr>
        <w:shd w:fill="E8F5EC" w:val="clear"/>
        <w:spacing w:before="60" w:after="40"/>
        <w:ind w:left="200"/>
      </w:pPr>
      <w:r>
        <w:rPr>
          <w:rFonts w:ascii="Calibri" w:cs="Calibri" w:eastAsia="Calibri" w:hAnsi="Calibri"/>
          <w:b w:val="false"/>
          <w:bCs w:val="false"/>
          <w:color w:val="1A1A2E"/>
          <w:sz w:val="18"/>
          <w:szCs w:val="18"/>
        </w:rPr>
        <w:t xml:space="preserve">The four-phase framework is discipline-agnostic by design. The phases (Learn, Practice, Apply, Assess) describe what students are cognitively doing — not what subject matter they're engaging with. The same cycle applies in CIT, Business, Nursing, and Allied Health. The content is yours to determine; the structure is the scaffold that supports any content.</w:t>
      </w:r>
    </w:p>
    <w:p>
      <w:pPr>
        <w:shd w:fill="E8F5EC" w:val="clear"/>
        <w:spacing w:before="20" w:after="20"/>
        <w:ind w:left="200"/>
      </w:pPr>
      <w:r>
        <w:rPr>
          <w:rFonts w:ascii="Calibri" w:cs="Calibri" w:eastAsia="Calibri" w:hAnsi="Calibri"/>
          <w:b/>
          <w:bCs/>
          <w:color w:val="1B5E2C"/>
          <w:sz w:val="17"/>
          <w:szCs w:val="17"/>
        </w:rPr>
        <w:t xml:space="preserve">Supporting Evidence:</w:t>
      </w:r>
    </w:p>
    <w:p>
      <w:pPr>
        <w:pStyle w:val="ListParagraph"/>
        <w:numPr>
          <w:ilvl w:val="1"/>
          <w:numId w:val="2"/>
        </w:numPr>
        <w:shd w:fill="E8F5EC" w:val="clear"/>
        <w:spacing w:before="16" w:after="16"/>
      </w:pPr>
      <w:r>
        <w:rPr>
          <w:rFonts w:ascii="Calibri" w:cs="Calibri" w:eastAsia="Calibri" w:hAnsi="Calibri"/>
          <w:b w:val="false"/>
          <w:bCs w:val="false"/>
          <w:color w:val="4A5568"/>
          <w:sz w:val="17"/>
          <w:szCs w:val="17"/>
        </w:rPr>
        <w:t xml:space="preserve">GRD-159 (Photoshop/Visual Communication): Learn = design principles readings; Practice = tool identification matching; Apply = design portfolio pieces; Assess = technical skill quiz</w:t>
      </w:r>
    </w:p>
    <w:p>
      <w:pPr>
        <w:pStyle w:val="ListParagraph"/>
        <w:numPr>
          <w:ilvl w:val="1"/>
          <w:numId w:val="2"/>
        </w:numPr>
        <w:shd w:fill="E8F5EC" w:val="clear"/>
        <w:spacing w:before="16" w:after="16"/>
      </w:pPr>
      <w:r>
        <w:rPr>
          <w:rFonts w:ascii="Calibri" w:cs="Calibri" w:eastAsia="Calibri" w:hAnsi="Calibri"/>
          <w:b w:val="false"/>
          <w:bCs w:val="false"/>
          <w:color w:val="4A5568"/>
          <w:sz w:val="17"/>
          <w:szCs w:val="17"/>
        </w:rPr>
        <w:t xml:space="preserve">CIT courses: Learn = documentation/demos; Practice = syntax/concept quizzes; Apply = lab reports + help forum DBs; Assess = certification-style practical exam</w:t>
      </w:r>
    </w:p>
    <w:p>
      <w:pPr>
        <w:pStyle w:val="ListParagraph"/>
        <w:numPr>
          <w:ilvl w:val="1"/>
          <w:numId w:val="2"/>
        </w:numPr>
        <w:shd w:fill="E8F5EC" w:val="clear"/>
        <w:spacing w:before="16" w:after="16"/>
      </w:pPr>
      <w:r>
        <w:rPr>
          <w:rFonts w:ascii="Calibri" w:cs="Calibri" w:eastAsia="Calibri" w:hAnsi="Calibri"/>
          <w:b w:val="false"/>
          <w:bCs w:val="false"/>
          <w:color w:val="4A5568"/>
          <w:sz w:val="17"/>
          <w:szCs w:val="17"/>
        </w:rPr>
        <w:t xml:space="preserve">BUS-253 (Business): Learn = case studies; Practice = business vocabulary; Apply = business plan sections; Assess = financial analysis exam</w:t>
      </w:r>
    </w:p>
    <w:p>
      <w:pPr>
        <w:pStyle w:val="ListParagraph"/>
        <w:numPr>
          <w:ilvl w:val="1"/>
          <w:numId w:val="2"/>
        </w:numPr>
        <w:shd w:fill="E8F5EC" w:val="clear"/>
        <w:spacing w:before="16" w:after="16"/>
      </w:pPr>
      <w:r>
        <w:rPr>
          <w:rFonts w:ascii="Calibri" w:cs="Calibri" w:eastAsia="Calibri" w:hAnsi="Calibri"/>
          <w:b w:val="false"/>
          <w:bCs w:val="false"/>
          <w:color w:val="4A5568"/>
          <w:sz w:val="17"/>
          <w:szCs w:val="17"/>
        </w:rPr>
        <w:t xml:space="preserve">The Model Course Structure Handout documents this cross-disciplinary application explicitly</w:t>
      </w:r>
    </w:p>
    <w:p>
      <w:pPr>
        <w:spacing w:before="20" w:after="10"/>
        <w:jc w:val="left"/>
      </w:pPr>
      <w:r>
        <w:rPr>
          <w:rFonts w:ascii="Calibri" w:cs="Calibri" w:eastAsia="Calibri" w:hAnsi="Calibri"/>
          <w:b w:val="false"/>
          <w:bCs w:val="false"/>
          <w:color w:val="1A1A2E"/>
          <w:sz w:val="20"/>
          <w:szCs w:val="20"/>
        </w:rPr>
        <w:t xml:space="preserve"/>
      </w:r>
    </w:p>
    <w:p>
      <w:pPr>
        <w:shd w:fill="1B6CA8" w:val="clear"/>
        <w:spacing w:before="140" w:after="0"/>
      </w:pPr>
      <w:r>
        <w:rPr>
          <w:rFonts w:ascii="Calibri" w:cs="Calibri" w:eastAsia="Calibri" w:hAnsi="Calibri"/>
          <w:b/>
          <w:bCs/>
          <w:color w:val="FFFFFF"/>
          <w:sz w:val="19"/>
          <w:szCs w:val="19"/>
        </w:rPr>
        <w:t xml:space="preserve">  Q5: "What if my students don't like the discussion board format?"</w:t>
      </w:r>
    </w:p>
    <w:p>
      <w:pPr>
        <w:shd w:fill="E8F1F8" w:val="clear"/>
        <w:spacing w:before="0" w:after="0"/>
      </w:pPr>
      <w:r>
        <w:rPr>
          <w:rFonts w:ascii="Calibri" w:cs="Calibri" w:eastAsia="Calibri" w:hAnsi="Calibri"/>
          <w:b/>
          <w:bCs/>
          <w:color w:val="1A1A2E"/>
          <w:sz w:val="18"/>
          <w:szCs w:val="18"/>
        </w:rPr>
        <w:t xml:space="preserve">  Response:</w:t>
      </w:r>
    </w:p>
    <w:p>
      <w:pPr>
        <w:shd w:fill="E8F1F8" w:val="clear"/>
        <w:spacing w:before="60" w:after="40"/>
        <w:ind w:left="200"/>
      </w:pPr>
      <w:r>
        <w:rPr>
          <w:rFonts w:ascii="Calibri" w:cs="Calibri" w:eastAsia="Calibri" w:hAnsi="Calibri"/>
          <w:b w:val="false"/>
          <w:bCs w:val="false"/>
          <w:color w:val="1A1A2E"/>
          <w:sz w:val="18"/>
          <w:szCs w:val="18"/>
        </w:rPr>
        <w:t xml:space="preserve">Discussion boards are among the most researched online learning activities and, when well-designed, consistently show positive impact on engagement, critical thinking, and course completion. The key variables are prompt quality and instructor presence. A poor DB prompt ('What did you think of Chapter 3?') produces poor results. A strong prompt ('Using at least two pieces of evidence from this module, argue whether the Progressive Era reforms addressed the fundamental causes of inequality or only their symptoms') produces substantive academic discourse.</w:t>
      </w:r>
    </w:p>
    <w:p>
      <w:pPr>
        <w:shd w:fill="E8F1F8" w:val="clear"/>
        <w:spacing w:before="20" w:after="20"/>
        <w:ind w:left="200"/>
      </w:pPr>
      <w:r>
        <w:rPr>
          <w:rFonts w:ascii="Calibri" w:cs="Calibri" w:eastAsia="Calibri" w:hAnsi="Calibri"/>
          <w:b/>
          <w:bCs/>
          <w:color w:val="1B6CA8"/>
          <w:sz w:val="17"/>
          <w:szCs w:val="17"/>
        </w:rPr>
        <w:t xml:space="preserve">Supporting Evidence:</w:t>
      </w:r>
    </w:p>
    <w:p>
      <w:pPr>
        <w:pStyle w:val="ListParagraph"/>
        <w:numPr>
          <w:ilvl w:val="1"/>
          <w:numId w:val="2"/>
        </w:numPr>
        <w:shd w:fill="E8F1F8" w:val="clear"/>
        <w:spacing w:before="16" w:after="16"/>
      </w:pPr>
      <w:r>
        <w:rPr>
          <w:rFonts w:ascii="Calibri" w:cs="Calibri" w:eastAsia="Calibri" w:hAnsi="Calibri"/>
          <w:b w:val="false"/>
          <w:bCs w:val="false"/>
          <w:color w:val="4A5568"/>
          <w:sz w:val="17"/>
          <w:szCs w:val="17"/>
        </w:rPr>
        <w:t xml:space="preserve">QM Standard 5.3 requires student-student interaction — DBs are the most established mechanism for this in asynchronous courses</w:t>
      </w:r>
    </w:p>
    <w:p>
      <w:pPr>
        <w:pStyle w:val="ListParagraph"/>
        <w:numPr>
          <w:ilvl w:val="1"/>
          <w:numId w:val="2"/>
        </w:numPr>
        <w:shd w:fill="E8F1F8" w:val="clear"/>
        <w:spacing w:before="16" w:after="16"/>
      </w:pPr>
      <w:r>
        <w:rPr>
          <w:rFonts w:ascii="Calibri" w:cs="Calibri" w:eastAsia="Calibri" w:hAnsi="Calibri"/>
          <w:b w:val="false"/>
          <w:bCs w:val="false"/>
          <w:color w:val="4A5568"/>
          <w:sz w:val="17"/>
          <w:szCs w:val="17"/>
        </w:rPr>
        <w:t xml:space="preserve">The four DBs in HIS-131/132 are placed strategically at the midpoint of every two-module unit — not randomly distributed</w:t>
      </w:r>
    </w:p>
    <w:p>
      <w:pPr>
        <w:pStyle w:val="ListParagraph"/>
        <w:numPr>
          <w:ilvl w:val="1"/>
          <w:numId w:val="2"/>
        </w:numPr>
        <w:shd w:fill="E8F1F8" w:val="clear"/>
        <w:spacing w:before="16" w:after="16"/>
      </w:pPr>
      <w:r>
        <w:rPr>
          <w:rFonts w:ascii="Calibri" w:cs="Calibri" w:eastAsia="Calibri" w:hAnsi="Calibri"/>
          <w:b w:val="false"/>
          <w:bCs w:val="false"/>
          <w:color w:val="4A5568"/>
          <w:sz w:val="17"/>
          <w:szCs w:val="17"/>
        </w:rPr>
        <w:t xml:space="preserve">Rubric is provided to students before the prompt — they know exactly what quality looks like</w:t>
      </w:r>
    </w:p>
    <w:p>
      <w:pPr>
        <w:pStyle w:val="ListParagraph"/>
        <w:numPr>
          <w:ilvl w:val="1"/>
          <w:numId w:val="2"/>
        </w:numPr>
        <w:shd w:fill="E8F1F8" w:val="clear"/>
        <w:spacing w:before="16" w:after="16"/>
      </w:pPr>
      <w:r>
        <w:rPr>
          <w:rFonts w:ascii="Calibri" w:cs="Calibri" w:eastAsia="Calibri" w:hAnsi="Calibri"/>
          <w:b w:val="false"/>
          <w:bCs w:val="false"/>
          <w:color w:val="4A5568"/>
          <w:sz w:val="17"/>
          <w:szCs w:val="17"/>
        </w:rPr>
        <w:t xml:space="preserve">Instructor models substantive responses and responds to every student — this is the RSI requirement and also the modeling that raises overall DB quality over the course of the semester</w:t>
      </w:r>
    </w:p>
    <w:p>
      <w:pPr>
        <w:spacing w:before="20" w:after="10"/>
        <w:jc w:val="left"/>
      </w:pPr>
      <w:r>
        <w:rPr>
          <w:rFonts w:ascii="Calibri" w:cs="Calibri" w:eastAsia="Calibri" w:hAnsi="Calibri"/>
          <w:b w:val="false"/>
          <w:bCs w:val="false"/>
          <w:color w:val="1A1A2E"/>
          <w:sz w:val="20"/>
          <w:szCs w:val="20"/>
        </w:rPr>
        <w:t xml:space="preserve"/>
      </w:r>
    </w:p>
    <w:p>
      <w:pPr>
        <w:shd w:fill="3D1B6B" w:val="clear"/>
        <w:spacing w:before="140" w:after="0"/>
      </w:pPr>
      <w:r>
        <w:rPr>
          <w:rFonts w:ascii="Calibri" w:cs="Calibri" w:eastAsia="Calibri" w:hAnsi="Calibri"/>
          <w:b/>
          <w:bCs/>
          <w:color w:val="FFFFFF"/>
          <w:sz w:val="19"/>
          <w:szCs w:val="19"/>
        </w:rPr>
        <w:t xml:space="preserve">  Q6: "What is RSI and why does it matter to me?"</w:t>
      </w:r>
    </w:p>
    <w:p>
      <w:pPr>
        <w:shd w:fill="F0EAF8" w:val="clear"/>
        <w:spacing w:before="0" w:after="0"/>
      </w:pPr>
      <w:r>
        <w:rPr>
          <w:rFonts w:ascii="Calibri" w:cs="Calibri" w:eastAsia="Calibri" w:hAnsi="Calibri"/>
          <w:b/>
          <w:bCs/>
          <w:color w:val="1A1A2E"/>
          <w:sz w:val="18"/>
          <w:szCs w:val="18"/>
        </w:rPr>
        <w:t xml:space="preserve">  Response:</w:t>
      </w:r>
    </w:p>
    <w:p>
      <w:pPr>
        <w:shd w:fill="F0EAF8" w:val="clear"/>
        <w:spacing w:before="60" w:after="40"/>
        <w:ind w:left="200"/>
      </w:pPr>
      <w:r>
        <w:rPr>
          <w:rFonts w:ascii="Calibri" w:cs="Calibri" w:eastAsia="Calibri" w:hAnsi="Calibri"/>
          <w:b w:val="false"/>
          <w:bCs w:val="false"/>
          <w:color w:val="1A1A2E"/>
          <w:sz w:val="18"/>
          <w:szCs w:val="18"/>
        </w:rPr>
        <w:t xml:space="preserve">RSI — Regular and Substantive Interaction — is a federal requirement under 34 CFR § 600.2. It applies to every distance education course at every institution receiving federal financial aid. This is not a QM standard or an FTCC policy; it is federal law. Failure to document RSI is an accreditation risk for the institution. The good news: the HQCDP framework makes RSI systematic and documentable. Every DB response, portfolio feedback, and module announcement counts — and the teaching plan documents all of it.</w:t>
      </w:r>
    </w:p>
    <w:p>
      <w:pPr>
        <w:shd w:fill="F0EAF8" w:val="clear"/>
        <w:spacing w:before="20" w:after="20"/>
        <w:ind w:left="200"/>
      </w:pPr>
      <w:r>
        <w:rPr>
          <w:rFonts w:ascii="Calibri" w:cs="Calibri" w:eastAsia="Calibri" w:hAnsi="Calibri"/>
          <w:b/>
          <w:bCs/>
          <w:color w:val="3D1B6B"/>
          <w:sz w:val="17"/>
          <w:szCs w:val="17"/>
        </w:rPr>
        <w:t xml:space="preserve">Supporting Evidence:</w:t>
      </w:r>
    </w:p>
    <w:p>
      <w:pPr>
        <w:pStyle w:val="ListParagraph"/>
        <w:numPr>
          <w:ilvl w:val="1"/>
          <w:numId w:val="2"/>
        </w:numPr>
        <w:shd w:fill="F0EAF8" w:val="clear"/>
        <w:spacing w:before="16" w:after="16"/>
      </w:pPr>
      <w:r>
        <w:rPr>
          <w:rFonts w:ascii="Calibri" w:cs="Calibri" w:eastAsia="Calibri" w:hAnsi="Calibri"/>
          <w:b w:val="false"/>
          <w:bCs w:val="false"/>
          <w:color w:val="4A5568"/>
          <w:sz w:val="17"/>
          <w:szCs w:val="17"/>
        </w:rPr>
        <w:t xml:space="preserve">RSI applies to the INSTRUCTOR, not the student — it is about what you do, not what students do</w:t>
      </w:r>
    </w:p>
    <w:p>
      <w:pPr>
        <w:pStyle w:val="ListParagraph"/>
        <w:numPr>
          <w:ilvl w:val="1"/>
          <w:numId w:val="2"/>
        </w:numPr>
        <w:shd w:fill="F0EAF8" w:val="clear"/>
        <w:spacing w:before="16" w:after="16"/>
      </w:pPr>
      <w:r>
        <w:rPr>
          <w:rFonts w:ascii="Calibri" w:cs="Calibri" w:eastAsia="Calibri" w:hAnsi="Calibri"/>
          <w:b w:val="false"/>
          <w:bCs w:val="false"/>
          <w:color w:val="4A5568"/>
          <w:sz w:val="17"/>
          <w:szCs w:val="17"/>
        </w:rPr>
        <w:t xml:space="preserve">The teaching plan documents 48+ RSI touchpoints per course section per semester</w:t>
      </w:r>
    </w:p>
    <w:p>
      <w:pPr>
        <w:pStyle w:val="ListParagraph"/>
        <w:numPr>
          <w:ilvl w:val="1"/>
          <w:numId w:val="2"/>
        </w:numPr>
        <w:shd w:fill="F0EAF8" w:val="clear"/>
        <w:spacing w:before="16" w:after="16"/>
      </w:pPr>
      <w:r>
        <w:rPr>
          <w:rFonts w:ascii="Calibri" w:cs="Calibri" w:eastAsia="Calibri" w:hAnsi="Calibri"/>
          <w:b w:val="false"/>
          <w:bCs w:val="false"/>
          <w:color w:val="4A5568"/>
          <w:sz w:val="17"/>
          <w:szCs w:val="17"/>
        </w:rPr>
        <w:t xml:space="preserve">Auto-graded activities do NOT satisfy RSI — a quiz that grades itself does not demonstrate instructor presence</w:t>
      </w:r>
    </w:p>
    <w:p>
      <w:pPr>
        <w:pStyle w:val="ListParagraph"/>
        <w:numPr>
          <w:ilvl w:val="1"/>
          <w:numId w:val="2"/>
        </w:numPr>
        <w:shd w:fill="F0EAF8" w:val="clear"/>
        <w:spacing w:before="16" w:after="16"/>
      </w:pPr>
      <w:r>
        <w:rPr>
          <w:rFonts w:ascii="Calibri" w:cs="Calibri" w:eastAsia="Calibri" w:hAnsi="Calibri"/>
          <w:b w:val="false"/>
          <w:bCs w:val="false"/>
          <w:color w:val="4A5568"/>
          <w:sz w:val="17"/>
          <w:szCs w:val="17"/>
        </w:rPr>
        <w:t xml:space="preserve">The HQCDP framework strategically places instructor-graded tasks (DBs and Portfolio) where substantive feedback is most educationally valuable, which simultaneously satisfies RSI</w:t>
      </w:r>
    </w:p>
    <w:p>
      <w:pPr>
        <w:spacing w:before="20" w:after="10"/>
        <w:jc w:val="left"/>
      </w:pPr>
      <w:r>
        <w:rPr>
          <w:rFonts w:ascii="Calibri" w:cs="Calibri" w:eastAsia="Calibri" w:hAnsi="Calibri"/>
          <w:b w:val="false"/>
          <w:bCs w:val="false"/>
          <w:color w:val="1A1A2E"/>
          <w:sz w:val="20"/>
          <w:szCs w:val="20"/>
        </w:rPr>
        <w:t xml:space="preserve"/>
      </w:r>
    </w:p>
    <w:p>
      <w:pPr>
        <w:shd w:fill="7A5C1B" w:val="clear"/>
        <w:spacing w:before="140" w:after="0"/>
      </w:pPr>
      <w:r>
        <w:rPr>
          <w:rFonts w:ascii="Calibri" w:cs="Calibri" w:eastAsia="Calibri" w:hAnsi="Calibri"/>
          <w:b/>
          <w:bCs/>
          <w:color w:val="FFFFFF"/>
          <w:sz w:val="19"/>
          <w:szCs w:val="19"/>
        </w:rPr>
        <w:t xml:space="preserve">  Q7: "Can I use my publisher's materials instead of OER?"</w:t>
      </w:r>
    </w:p>
    <w:p>
      <w:pPr>
        <w:shd w:fill="FDF5E0" w:val="clear"/>
        <w:spacing w:before="0" w:after="0"/>
      </w:pPr>
      <w:r>
        <w:rPr>
          <w:rFonts w:ascii="Calibri" w:cs="Calibri" w:eastAsia="Calibri" w:hAnsi="Calibri"/>
          <w:b/>
          <w:bCs/>
          <w:color w:val="1A1A2E"/>
          <w:sz w:val="18"/>
          <w:szCs w:val="18"/>
        </w:rPr>
        <w:t xml:space="preserve">  Response:</w:t>
      </w:r>
    </w:p>
    <w:p>
      <w:pPr>
        <w:shd w:fill="FDF5E0" w:val="clear"/>
        <w:spacing w:before="60" w:after="40"/>
        <w:ind w:left="200"/>
      </w:pPr>
      <w:r>
        <w:rPr>
          <w:rFonts w:ascii="Calibri" w:cs="Calibri" w:eastAsia="Calibri" w:hAnsi="Calibri"/>
          <w:b w:val="false"/>
          <w:bCs w:val="false"/>
          <w:color w:val="1A1A2E"/>
          <w:sz w:val="18"/>
          <w:szCs w:val="18"/>
        </w:rPr>
        <w:t xml:space="preserve">Yes — the HQCDP framework is content-agnostic. Publisher materials can map to the Learn phase. However, there are significant equity, access, and cost considerations worth examining before defaulting to a commercial textbook. See Section 6 for the full OER analysis.</w:t>
      </w:r>
    </w:p>
    <w:p>
      <w:pPr>
        <w:shd w:fill="FDF5E0" w:val="clear"/>
        <w:spacing w:before="20" w:after="20"/>
        <w:ind w:left="200"/>
      </w:pPr>
      <w:r>
        <w:rPr>
          <w:rFonts w:ascii="Calibri" w:cs="Calibri" w:eastAsia="Calibri" w:hAnsi="Calibri"/>
          <w:b/>
          <w:bCs/>
          <w:color w:val="7A5C1B"/>
          <w:sz w:val="17"/>
          <w:szCs w:val="17"/>
        </w:rPr>
        <w:t xml:space="preserve">Supporting Evidence:</w:t>
      </w:r>
    </w:p>
    <w:p>
      <w:pPr>
        <w:pStyle w:val="ListParagraph"/>
        <w:numPr>
          <w:ilvl w:val="1"/>
          <w:numId w:val="2"/>
        </w:numPr>
        <w:shd w:fill="FDF5E0" w:val="clear"/>
        <w:spacing w:before="16" w:after="16"/>
      </w:pPr>
      <w:r>
        <w:rPr>
          <w:rFonts w:ascii="Calibri" w:cs="Calibri" w:eastAsia="Calibri" w:hAnsi="Calibri"/>
          <w:b w:val="false"/>
          <w:bCs w:val="false"/>
          <w:color w:val="4A5568"/>
          <w:sz w:val="17"/>
          <w:szCs w:val="17"/>
        </w:rPr>
        <w:t xml:space="preserve">QM Standard 6.1 requires transparency about technology and material requirements and costs — publisher materials must be disclosed and justified</w:t>
      </w:r>
    </w:p>
    <w:p>
      <w:pPr>
        <w:pStyle w:val="ListParagraph"/>
        <w:numPr>
          <w:ilvl w:val="1"/>
          <w:numId w:val="2"/>
        </w:numPr>
        <w:shd w:fill="FDF5E0" w:val="clear"/>
        <w:spacing w:before="16" w:after="16"/>
      </w:pPr>
      <w:r>
        <w:rPr>
          <w:rFonts w:ascii="Calibri" w:cs="Calibri" w:eastAsia="Calibri" w:hAnsi="Calibri"/>
          <w:b w:val="false"/>
          <w:bCs w:val="false"/>
          <w:color w:val="4A5568"/>
          <w:sz w:val="17"/>
          <w:szCs w:val="17"/>
        </w:rPr>
        <w:t xml:space="preserve">If a student cannot afford the textbook, the course design fails regardless of how well it is structured</w:t>
      </w:r>
    </w:p>
    <w:p>
      <w:pPr>
        <w:pStyle w:val="ListParagraph"/>
        <w:numPr>
          <w:ilvl w:val="1"/>
          <w:numId w:val="2"/>
        </w:numPr>
        <w:shd w:fill="FDF5E0" w:val="clear"/>
        <w:spacing w:before="16" w:after="16"/>
      </w:pPr>
      <w:r>
        <w:rPr>
          <w:rFonts w:ascii="Calibri" w:cs="Calibri" w:eastAsia="Calibri" w:hAnsi="Calibri"/>
          <w:b w:val="false"/>
          <w:bCs w:val="false"/>
          <w:color w:val="4A5568"/>
          <w:sz w:val="17"/>
          <w:szCs w:val="17"/>
        </w:rPr>
        <w:t xml:space="preserve">OER has reached quality parity with commercial textbooks in many disciplines — The American Yawp is used at hundreds of institutions and has been peer-reviewed extensively</w:t>
      </w:r>
    </w:p>
    <w:p>
      <w:pPr>
        <w:pStyle w:val="ListParagraph"/>
        <w:numPr>
          <w:ilvl w:val="1"/>
          <w:numId w:val="2"/>
        </w:numPr>
        <w:shd w:fill="FDF5E0" w:val="clear"/>
        <w:spacing w:before="16" w:after="16"/>
      </w:pPr>
      <w:r>
        <w:rPr>
          <w:rFonts w:ascii="Calibri" w:cs="Calibri" w:eastAsia="Calibri" w:hAnsi="Calibri"/>
          <w:b w:val="false"/>
          <w:bCs w:val="false"/>
          <w:color w:val="4A5568"/>
          <w:sz w:val="17"/>
          <w:szCs w:val="17"/>
        </w:rPr>
        <w:t xml:space="preserve">The HQCDP framework can accommodate either — the choice belongs to the faculty member, informed by equity data</w:t>
      </w:r>
    </w:p>
    <w:p>
      <w:pPr>
        <w:spacing w:before="20" w:after="10"/>
        <w:jc w:val="left"/>
      </w:pPr>
      <w:r>
        <w:rPr>
          <w:rFonts w:ascii="Calibri" w:cs="Calibri" w:eastAsia="Calibri" w:hAnsi="Calibri"/>
          <w:b w:val="false"/>
          <w:bCs w:val="false"/>
          <w:color w:val="1A1A2E"/>
          <w:sz w:val="20"/>
          <w:szCs w:val="20"/>
        </w:rPr>
        <w:t xml:space="preserve"/>
      </w:r>
    </w:p>
    <w:p>
      <w:pPr>
        <w:shd w:fill="1B5E2C" w:val="clear"/>
        <w:spacing w:before="140" w:after="0"/>
      </w:pPr>
      <w:r>
        <w:rPr>
          <w:rFonts w:ascii="Calibri" w:cs="Calibri" w:eastAsia="Calibri" w:hAnsi="Calibri"/>
          <w:b/>
          <w:bCs/>
          <w:color w:val="FFFFFF"/>
          <w:sz w:val="19"/>
          <w:szCs w:val="19"/>
        </w:rPr>
        <w:t xml:space="preserve">  Q8: "How will this be graded in my annual evaluation?"</w:t>
      </w:r>
    </w:p>
    <w:p>
      <w:pPr>
        <w:shd w:fill="E8F5EC" w:val="clear"/>
        <w:spacing w:before="0" w:after="0"/>
      </w:pPr>
      <w:r>
        <w:rPr>
          <w:rFonts w:ascii="Calibri" w:cs="Calibri" w:eastAsia="Calibri" w:hAnsi="Calibri"/>
          <w:b/>
          <w:bCs/>
          <w:color w:val="1A1A2E"/>
          <w:sz w:val="18"/>
          <w:szCs w:val="18"/>
        </w:rPr>
        <w:t xml:space="preserve">  Response:</w:t>
      </w:r>
    </w:p>
    <w:p>
      <w:pPr>
        <w:shd w:fill="E8F5EC" w:val="clear"/>
        <w:spacing w:before="60" w:after="40"/>
        <w:ind w:left="200"/>
      </w:pPr>
      <w:r>
        <w:rPr>
          <w:rFonts w:ascii="Calibri" w:cs="Calibri" w:eastAsia="Calibri" w:hAnsi="Calibri"/>
          <w:b w:val="false"/>
          <w:bCs w:val="false"/>
          <w:color w:val="1A1A2E"/>
          <w:sz w:val="18"/>
          <w:szCs w:val="18"/>
        </w:rPr>
        <w:t xml:space="preserve">Participation in HQCDP and completion of a certified high-quality course is documented in your faculty portfolio and can be submitted as evidence of professional development, instructional innovation, and quality improvement — all of which appear in standard faculty evaluation rubrics at FTCC and across the NC Community College system.</w:t>
      </w:r>
    </w:p>
    <w:p>
      <w:pPr>
        <w:shd w:fill="E8F5EC" w:val="clear"/>
        <w:spacing w:before="20" w:after="20"/>
        <w:ind w:left="200"/>
      </w:pPr>
      <w:r>
        <w:rPr>
          <w:rFonts w:ascii="Calibri" w:cs="Calibri" w:eastAsia="Calibri" w:hAnsi="Calibri"/>
          <w:b/>
          <w:bCs/>
          <w:color w:val="1B5E2C"/>
          <w:sz w:val="17"/>
          <w:szCs w:val="17"/>
        </w:rPr>
        <w:t xml:space="preserve">Supporting Evidence:</w:t>
      </w:r>
    </w:p>
    <w:p>
      <w:pPr>
        <w:pStyle w:val="ListParagraph"/>
        <w:numPr>
          <w:ilvl w:val="1"/>
          <w:numId w:val="2"/>
        </w:numPr>
        <w:shd w:fill="E8F5EC" w:val="clear"/>
        <w:spacing w:before="16" w:after="16"/>
      </w:pPr>
      <w:r>
        <w:rPr>
          <w:rFonts w:ascii="Calibri" w:cs="Calibri" w:eastAsia="Calibri" w:hAnsi="Calibri"/>
          <w:b w:val="false"/>
          <w:bCs w:val="false"/>
          <w:color w:val="4A5568"/>
          <w:sz w:val="17"/>
          <w:szCs w:val="17"/>
        </w:rPr>
        <w:t xml:space="preserve">HQCDP certification generates documentation that can be attached to faculty evaluation portfolios</w:t>
      </w:r>
    </w:p>
    <w:p>
      <w:pPr>
        <w:pStyle w:val="ListParagraph"/>
        <w:numPr>
          <w:ilvl w:val="1"/>
          <w:numId w:val="2"/>
        </w:numPr>
        <w:shd w:fill="E8F5EC" w:val="clear"/>
        <w:spacing w:before="16" w:after="16"/>
      </w:pPr>
      <w:r>
        <w:rPr>
          <w:rFonts w:ascii="Calibri" w:cs="Calibri" w:eastAsia="Calibri" w:hAnsi="Calibri"/>
          <w:b w:val="false"/>
          <w:bCs w:val="false"/>
          <w:color w:val="4A5568"/>
          <w:sz w:val="17"/>
          <w:szCs w:val="17"/>
        </w:rPr>
        <w:t xml:space="preserve">QM certification (if pursued) is a national credential recognized across higher education</w:t>
      </w:r>
    </w:p>
    <w:p>
      <w:pPr>
        <w:pStyle w:val="ListParagraph"/>
        <w:numPr>
          <w:ilvl w:val="1"/>
          <w:numId w:val="2"/>
        </w:numPr>
        <w:shd w:fill="E8F5EC" w:val="clear"/>
        <w:spacing w:before="16" w:after="16"/>
      </w:pPr>
      <w:r>
        <w:rPr>
          <w:rFonts w:ascii="Calibri" w:cs="Calibri" w:eastAsia="Calibri" w:hAnsi="Calibri"/>
          <w:b w:val="false"/>
          <w:bCs w:val="false"/>
          <w:color w:val="4A5568"/>
          <w:sz w:val="17"/>
          <w:szCs w:val="17"/>
        </w:rPr>
        <w:t xml:space="preserve">Professional development hours are documented for each phase of the HQCDP process</w:t>
      </w:r>
    </w:p>
    <w:p>
      <w:pPr>
        <w:pStyle w:val="ListParagraph"/>
        <w:numPr>
          <w:ilvl w:val="1"/>
          <w:numId w:val="2"/>
        </w:numPr>
        <w:shd w:fill="E8F5EC" w:val="clear"/>
        <w:spacing w:before="16" w:after="16"/>
      </w:pPr>
      <w:r>
        <w:rPr>
          <w:rFonts w:ascii="Calibri" w:cs="Calibri" w:eastAsia="Calibri" w:hAnsi="Calibri"/>
          <w:b w:val="false"/>
          <w:bCs w:val="false"/>
          <w:color w:val="4A5568"/>
          <w:sz w:val="17"/>
          <w:szCs w:val="17"/>
        </w:rPr>
        <w:t xml:space="preserve">Faculty who complete the program are recognized as HQCDP Certified Instructors and can mentor peers — creating leadership opportunities within the cohort model</w:t>
      </w:r>
    </w:p>
    <w:p>
      <w:pPr>
        <w:spacing w:before="20" w:after="10"/>
        <w:jc w:val="left"/>
      </w:pPr>
      <w:r>
        <w:rPr>
          <w:rFonts w:ascii="Calibri" w:cs="Calibri" w:eastAsia="Calibri" w:hAnsi="Calibri"/>
          <w:b w:val="false"/>
          <w:bCs w:val="false"/>
          <w:color w:val="1A1A2E"/>
          <w:sz w:val="20"/>
          <w:szCs w:val="20"/>
        </w:rPr>
        <w:t xml:space="preserve"/>
      </w:r>
    </w:p>
    <w:p>
      <w:pPr>
        <w:shd w:fill="8B3A0F" w:val="clear"/>
        <w:spacing w:before="140" w:after="0"/>
      </w:pPr>
      <w:r>
        <w:rPr>
          <w:rFonts w:ascii="Calibri" w:cs="Calibri" w:eastAsia="Calibri" w:hAnsi="Calibri"/>
          <w:b/>
          <w:bCs/>
          <w:color w:val="FFFFFF"/>
          <w:sz w:val="19"/>
          <w:szCs w:val="19"/>
        </w:rPr>
        <w:t xml:space="preserve">  Q9: "What if I don't have time for this?"</w:t>
      </w:r>
    </w:p>
    <w:p>
      <w:pPr>
        <w:shd w:fill="FEF3EC" w:val="clear"/>
        <w:spacing w:before="0" w:after="0"/>
      </w:pPr>
      <w:r>
        <w:rPr>
          <w:rFonts w:ascii="Calibri" w:cs="Calibri" w:eastAsia="Calibri" w:hAnsi="Calibri"/>
          <w:b/>
          <w:bCs/>
          <w:color w:val="1A1A2E"/>
          <w:sz w:val="18"/>
          <w:szCs w:val="18"/>
        </w:rPr>
        <w:t xml:space="preserve">  Response:</w:t>
      </w:r>
    </w:p>
    <w:p>
      <w:pPr>
        <w:shd w:fill="FEF3EC" w:val="clear"/>
        <w:spacing w:before="60" w:after="40"/>
        <w:ind w:left="200"/>
      </w:pPr>
      <w:r>
        <w:rPr>
          <w:rFonts w:ascii="Calibri" w:cs="Calibri" w:eastAsia="Calibri" w:hAnsi="Calibri"/>
          <w:b w:val="false"/>
          <w:bCs w:val="false"/>
          <w:color w:val="1A1A2E"/>
          <w:sz w:val="18"/>
          <w:szCs w:val="18"/>
        </w:rPr>
        <w:t xml:space="preserve">Time is the most legitimate concern faculty raise, and it deserves a direct answer. The cohort model in Section 9 is specifically designed to distribute the workload across a supported semester rather than asking faculty to build alone on top of a full teaching load. The framework also dramatically reduces the time of subsequent redesigns once the initial build is complete.</w:t>
      </w:r>
    </w:p>
    <w:p>
      <w:pPr>
        <w:shd w:fill="FEF3EC" w:val="clear"/>
        <w:spacing w:before="20" w:after="20"/>
        <w:ind w:left="200"/>
      </w:pPr>
      <w:r>
        <w:rPr>
          <w:rFonts w:ascii="Calibri" w:cs="Calibri" w:eastAsia="Calibri" w:hAnsi="Calibri"/>
          <w:b/>
          <w:bCs/>
          <w:color w:val="8B3A0F"/>
          <w:sz w:val="17"/>
          <w:szCs w:val="17"/>
        </w:rPr>
        <w:t xml:space="preserve">Supporting Evidence:</w:t>
      </w:r>
    </w:p>
    <w:p>
      <w:pPr>
        <w:pStyle w:val="ListParagraph"/>
        <w:numPr>
          <w:ilvl w:val="1"/>
          <w:numId w:val="2"/>
        </w:numPr>
        <w:shd w:fill="FEF3EC" w:val="clear"/>
        <w:spacing w:before="16" w:after="16"/>
      </w:pPr>
      <w:r>
        <w:rPr>
          <w:rFonts w:ascii="Calibri" w:cs="Calibri" w:eastAsia="Calibri" w:hAnsi="Calibri"/>
          <w:b w:val="false"/>
          <w:bCs w:val="false"/>
          <w:color w:val="4A5568"/>
          <w:sz w:val="17"/>
          <w:szCs w:val="17"/>
        </w:rPr>
        <w:t xml:space="preserve">The Summer Cohort model provides 10 weeks of structured, supported course development with embedded professional development hours</w:t>
      </w:r>
    </w:p>
    <w:p>
      <w:pPr>
        <w:pStyle w:val="ListParagraph"/>
        <w:numPr>
          <w:ilvl w:val="1"/>
          <w:numId w:val="2"/>
        </w:numPr>
        <w:shd w:fill="FEF3EC" w:val="clear"/>
        <w:spacing w:before="16" w:after="16"/>
      </w:pPr>
      <w:r>
        <w:rPr>
          <w:rFonts w:ascii="Calibri" w:cs="Calibri" w:eastAsia="Calibri" w:hAnsi="Calibri"/>
          <w:b w:val="false"/>
          <w:bCs w:val="false"/>
          <w:color w:val="4A5568"/>
          <w:sz w:val="17"/>
          <w:szCs w:val="17"/>
        </w:rPr>
        <w:t xml:space="preserve">Phase 1 of the cohort (weeks 1-3) maps existing content — faculty are not starting from scratch</w:t>
      </w:r>
    </w:p>
    <w:p>
      <w:pPr>
        <w:pStyle w:val="ListParagraph"/>
        <w:numPr>
          <w:ilvl w:val="1"/>
          <w:numId w:val="2"/>
        </w:numPr>
        <w:shd w:fill="FEF3EC" w:val="clear"/>
        <w:spacing w:before="16" w:after="16"/>
      </w:pPr>
      <w:r>
        <w:rPr>
          <w:rFonts w:ascii="Calibri" w:cs="Calibri" w:eastAsia="Calibri" w:hAnsi="Calibri"/>
          <w:b w:val="false"/>
          <w:bCs w:val="false"/>
          <w:color w:val="4A5568"/>
          <w:sz w:val="17"/>
          <w:szCs w:val="17"/>
        </w:rPr>
        <w:t xml:space="preserve">Template library and Canvas Master Shell reduce production time by an estimated 60-70% compared to building without support</w:t>
      </w:r>
    </w:p>
    <w:p>
      <w:pPr>
        <w:pStyle w:val="ListParagraph"/>
        <w:numPr>
          <w:ilvl w:val="1"/>
          <w:numId w:val="2"/>
        </w:numPr>
        <w:shd w:fill="FEF3EC" w:val="clear"/>
        <w:spacing w:before="16" w:after="16"/>
      </w:pPr>
      <w:r>
        <w:rPr>
          <w:rFonts w:ascii="Calibri" w:cs="Calibri" w:eastAsia="Calibri" w:hAnsi="Calibri"/>
          <w:b w:val="false"/>
          <w:bCs w:val="false"/>
          <w:color w:val="4A5568"/>
          <w:sz w:val="17"/>
          <w:szCs w:val="17"/>
        </w:rPr>
        <w:t xml:space="preserve">Instructional design coaching (1:1 sessions) is available throughout — faculty are not expected to know instructional design; they are expected to know their content</w:t>
      </w:r>
    </w:p>
    <w:p>
      <w:pPr>
        <w:spacing w:before="20" w:after="10"/>
        <w:jc w:val="left"/>
      </w:pPr>
      <w:r>
        <w:rPr>
          <w:rFonts w:ascii="Calibri" w:cs="Calibri" w:eastAsia="Calibri" w:hAnsi="Calibri"/>
          <w:b w:val="false"/>
          <w:bCs w:val="false"/>
          <w:color w:val="1A1A2E"/>
          <w:sz w:val="20"/>
          <w:szCs w:val="20"/>
        </w:rPr>
        <w:t xml:space="preserve"/>
      </w:r>
    </w:p>
    <w:p>
      <w:r>
        <w:br w:type="page"/>
      </w:r>
    </w:p>
    <w:p>
      <w:pPr>
        <w:shd w:fill="1B6CA8" w:val="clear"/>
        <w:spacing w:before="160" w:after="70"/>
      </w:pPr>
      <w:r>
        <w:rPr>
          <w:rFonts w:ascii="Calibri" w:cs="Calibri" w:eastAsia="Calibri" w:hAnsi="Calibri"/>
          <w:b/>
          <w:bCs/>
          <w:color w:val="FFFFFF"/>
          <w:sz w:val="21"/>
          <w:szCs w:val="21"/>
        </w:rPr>
        <w:t xml:space="preserve">  SECTION 4  |  Time Investment Analysis</w:t>
      </w:r>
    </w:p>
    <w:p>
      <w:pPr>
        <w:spacing w:before="40" w:after="40"/>
        <w:jc w:val="left"/>
      </w:pPr>
      <w:r>
        <w:rPr>
          <w:rFonts w:ascii="Calibri" w:cs="Calibri" w:eastAsia="Calibri" w:hAnsi="Calibri"/>
          <w:b w:val="false"/>
          <w:bCs w:val="false"/>
          <w:color w:val="1A1A2E"/>
          <w:sz w:val="19"/>
          <w:szCs w:val="19"/>
        </w:rPr>
        <w:t xml:space="preserve">One of the most important things instructional designers can do is be honest about how long quality course design takes — and then demonstrate how a replicable framework changes that equation over time.</w:t>
      </w:r>
    </w:p>
    <w:p>
      <w:pPr>
        <w:spacing w:before="20" w:after="10"/>
        <w:jc w:val="left"/>
      </w:pPr>
      <w:r>
        <w:rPr>
          <w:rFonts w:ascii="Calibri" w:cs="Calibri" w:eastAsia="Calibri" w:hAnsi="Calibri"/>
          <w:b w:val="false"/>
          <w:bCs w:val="false"/>
          <w:color w:val="1A1A2E"/>
          <w:sz w:val="20"/>
          <w:szCs w:val="20"/>
        </w:rPr>
        <w:t xml:space="preserve"/>
      </w:r>
    </w:p>
    <w:p>
      <w:pPr>
        <w:pBdr>
          <w:bottom w:val="single" w:color="1B6CA8" w:sz="6"/>
        </w:pBdr>
        <w:spacing w:before="120" w:after="50"/>
      </w:pPr>
      <w:r>
        <w:rPr>
          <w:rFonts w:ascii="Calibri" w:cs="Calibri" w:eastAsia="Calibri" w:hAnsi="Calibri"/>
          <w:b/>
          <w:bCs/>
          <w:color w:val="1B6CA8"/>
          <w:sz w:val="21"/>
          <w:szCs w:val="21"/>
        </w:rPr>
        <w:t xml:space="preserve">Build Time by Scenario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1400"/>
        <w:gridCol w:w="1200"/>
        <w:gridCol w:w="4160"/>
      </w:tblGrid>
      <w:tr>
        <w:tc>
          <w:tcPr>
            <w:tcW w:type="dxa" w:w="26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Scenario</w:t>
            </w:r>
          </w:p>
        </w:tc>
        <w:tc>
          <w:tcPr>
            <w:tcW w:type="dxa" w:w="14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Est. Hours</w:t>
            </w:r>
          </w:p>
        </w:tc>
        <w:tc>
          <w:tcPr>
            <w:tcW w:type="dxa" w:w="12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vs. Scratch</w:t>
            </w:r>
          </w:p>
        </w:tc>
        <w:tc>
          <w:tcPr>
            <w:tcW w:type="dxa" w:w="416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What Makes the Difference</w:t>
            </w:r>
          </w:p>
        </w:tc>
      </w:tr>
      <w:tr>
        <w:tc>
          <w:tcPr>
            <w:tcW w:type="dxa" w:w="2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Course 1 from scratch (no framework, no template)</w:t>
            </w:r>
          </w:p>
        </w:tc>
        <w:tc>
          <w:tcPr>
            <w:tcW w:type="dxa" w:w="14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150-200 hrs</w:t>
            </w:r>
          </w:p>
        </w:tc>
        <w:tc>
          <w:tcPr>
            <w:tcW w:type="dxa" w:w="12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Baseline</w:t>
            </w:r>
          </w:p>
        </w:tc>
        <w:tc>
          <w:tcPr>
            <w:tcW w:type="dxa" w:w="4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Faculty figures out structure, alignment, rubrics, Canvas setup, and content simultaneously. No institutional support. High revision rate.</w:t>
            </w:r>
          </w:p>
        </w:tc>
      </w:tr>
      <w:tr>
        <w:tc>
          <w:tcPr>
            <w:tcW w:type="dxa" w:w="26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HIS-131: HQCDP framework, full build (exemplar)</w:t>
            </w:r>
          </w:p>
        </w:tc>
        <w:tc>
          <w:tcPr>
            <w:tcW w:type="dxa" w:w="14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120+ hrs</w:t>
            </w:r>
          </w:p>
        </w:tc>
        <w:tc>
          <w:tcPr>
            <w:tcW w:type="dxa" w:w="12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~75% of scratch</w:t>
            </w:r>
          </w:p>
        </w:tc>
        <w:tc>
          <w:tcPr>
            <w:tcW w:type="dxa" w:w="4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Framework provided structure. Even so, first full build takes substantial time — content mapping, QM alignment, Canvas build, documentation all done simultaneously.</w:t>
            </w:r>
          </w:p>
        </w:tc>
      </w:tr>
      <w:tr>
        <w:tc>
          <w:tcPr>
            <w:tcW w:type="dxa" w:w="2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HIS-132: Same framework, second course</w:t>
            </w:r>
          </w:p>
        </w:tc>
        <w:tc>
          <w:tcPr>
            <w:tcW w:type="dxa" w:w="14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60-70 hrs</w:t>
            </w:r>
          </w:p>
        </w:tc>
        <w:tc>
          <w:tcPr>
            <w:tcW w:type="dxa" w:w="12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~40% of scratch</w:t>
            </w:r>
          </w:p>
        </w:tc>
        <w:tc>
          <w:tcPr>
            <w:tcW w:type="dxa" w:w="4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Framework already proven. Structure copied. Content adapted. Documentation templates reused. Canvas shell duplicated and updated.</w:t>
            </w:r>
          </w:p>
        </w:tc>
      </w:tr>
      <w:tr>
        <w:tc>
          <w:tcPr>
            <w:tcW w:type="dxa" w:w="26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Course 3+ using HQCDP framework independently</w:t>
            </w:r>
          </w:p>
        </w:tc>
        <w:tc>
          <w:tcPr>
            <w:tcW w:type="dxa" w:w="14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40-50 hrs</w:t>
            </w:r>
          </w:p>
        </w:tc>
        <w:tc>
          <w:tcPr>
            <w:tcW w:type="dxa" w:w="12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~25-30%</w:t>
            </w:r>
          </w:p>
        </w:tc>
        <w:tc>
          <w:tcPr>
            <w:tcW w:type="dxa" w:w="4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Faculty builds from Master Shell. LA templates pre-loaded. Rubric templates in place. ID coaching available. Primarily content substitution.</w:t>
            </w:r>
          </w:p>
        </w:tc>
      </w:tr>
      <w:tr>
        <w:tc>
          <w:tcPr>
            <w:tcW w:type="dxa" w:w="2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Course using Master Shell + ID coaching (cohort model)</w:t>
            </w:r>
          </w:p>
        </w:tc>
        <w:tc>
          <w:tcPr>
            <w:tcW w:type="dxa" w:w="14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25-35 hrs</w:t>
            </w:r>
          </w:p>
        </w:tc>
        <w:tc>
          <w:tcPr>
            <w:tcW w:type="dxa" w:w="12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~15-20%</w:t>
            </w:r>
          </w:p>
        </w:tc>
        <w:tc>
          <w:tcPr>
            <w:tcW w:type="dxa" w:w="4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Canvas Master Shell pre-built. Templates for all activity types. 1:1 coaching each phase. Most structural decisions pre-made — faculty customizes content only.</w:t>
            </w:r>
          </w:p>
        </w:tc>
      </w:tr>
      <w:tr>
        <w:tc>
          <w:tcPr>
            <w:tcW w:type="dxa" w:w="26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Course retrofit (existing course, realignment only)</w:t>
            </w:r>
          </w:p>
        </w:tc>
        <w:tc>
          <w:tcPr>
            <w:tcW w:type="dxa" w:w="14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15-25 hrs</w:t>
            </w:r>
          </w:p>
        </w:tc>
        <w:tc>
          <w:tcPr>
            <w:tcW w:type="dxa" w:w="12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~10-15%</w:t>
            </w:r>
          </w:p>
        </w:tc>
        <w:tc>
          <w:tcPr>
            <w:tcW w:type="dxa" w:w="4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Existing content stays. ID coach maps activities to framework. Rubric templates applied. QM alignment documented. Canvas reorganized, not rebuilt.</w:t>
            </w:r>
          </w:p>
        </w:tc>
      </w:tr>
    </w:tbl>
    <w:p>
      <w:pPr>
        <w:spacing w:before="60" w:after="20"/>
        <w:jc w:val="left"/>
      </w:pPr>
      <w:r>
        <w:rPr>
          <w:rFonts w:ascii="Calibri" w:cs="Calibri" w:eastAsia="Calibri" w:hAnsi="Calibri"/>
          <w:b w:val="false"/>
          <w:bCs w:val="false"/>
          <w:color w:val="1A1A2E"/>
          <w:sz w:val="20"/>
          <w:szCs w:val="20"/>
        </w:rPr>
        <w:t xml:space="preserve"/>
      </w:r>
    </w:p>
    <w:p>
      <w:pPr>
        <w:pBdr>
          <w:bottom w:val="single" w:color="1B6CA8" w:sz="6"/>
        </w:pBdr>
        <w:spacing w:before="120" w:after="50"/>
      </w:pPr>
      <w:r>
        <w:rPr>
          <w:rFonts w:ascii="Calibri" w:cs="Calibri" w:eastAsia="Calibri" w:hAnsi="Calibri"/>
          <w:b/>
          <w:bCs/>
          <w:color w:val="1B6CA8"/>
          <w:sz w:val="21"/>
          <w:szCs w:val="21"/>
        </w:rPr>
        <w:t xml:space="preserve">Phase-by-Phase Time Breakdown (Full Build)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400"/>
        <w:gridCol w:w="1400"/>
        <w:gridCol w:w="4160"/>
      </w:tblGrid>
      <w:tr>
        <w:tc>
          <w:tcPr>
            <w:tcW w:type="dxa" w:w="24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Phase</w:t>
            </w:r>
          </w:p>
        </w:tc>
        <w:tc>
          <w:tcPr>
            <w:tcW w:type="dxa" w:w="14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Scratch</w:t>
            </w:r>
          </w:p>
        </w:tc>
        <w:tc>
          <w:tcPr>
            <w:tcW w:type="dxa" w:w="14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With HQCDP</w:t>
            </w:r>
          </w:p>
        </w:tc>
        <w:tc>
          <w:tcPr>
            <w:tcW w:type="dxa" w:w="416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What Happens in This Phase</w:t>
            </w:r>
          </w:p>
        </w:tc>
      </w:tr>
      <w:tr>
        <w:tc>
          <w:tcPr>
            <w:tcW w:type="dxa" w:w="24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1. Content &amp; CLO Mapping</w:t>
            </w:r>
          </w:p>
        </w:tc>
        <w:tc>
          <w:tcPr>
            <w:tcW w:type="dxa" w:w="14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20-30 hrs</w:t>
            </w:r>
          </w:p>
        </w:tc>
        <w:tc>
          <w:tcPr>
            <w:tcW w:type="dxa" w:w="14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8-12 hrs</w:t>
            </w:r>
          </w:p>
        </w:tc>
        <w:tc>
          <w:tcPr>
            <w:tcW w:type="dxa" w:w="4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Map course content to modules. Write/refine CLOs. Align modules to CLOs. Identify OER sources. Complete course map template.</w:t>
            </w:r>
          </w:p>
        </w:tc>
      </w:tr>
      <w:tr>
        <w:tc>
          <w:tcPr>
            <w:tcW w:type="dxa" w:w="24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2. Activity Design (LAs)</w:t>
            </w:r>
          </w:p>
        </w:tc>
        <w:tc>
          <w:tcPr>
            <w:tcW w:type="dxa" w:w="14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30-40 hrs</w:t>
            </w:r>
          </w:p>
        </w:tc>
        <w:tc>
          <w:tcPr>
            <w:tcW w:type="dxa" w:w="14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10-15 hrs</w:t>
            </w:r>
          </w:p>
        </w:tc>
        <w:tc>
          <w:tcPr>
            <w:tcW w:type="dxa" w:w="4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Write key terms lists, people &amp; events items, timeline/comparison prompts. Build Canvas quiz banks. Set auto-grading rules and multi-attempt settings.</w:t>
            </w:r>
          </w:p>
        </w:tc>
      </w:tr>
      <w:tr>
        <w:tc>
          <w:tcPr>
            <w:tcW w:type="dxa" w:w="24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3. Apply Task Design (DB + Portfolio)</w:t>
            </w:r>
          </w:p>
        </w:tc>
        <w:tc>
          <w:tcPr>
            <w:tcW w:type="dxa" w:w="14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25-30 hrs</w:t>
            </w:r>
          </w:p>
        </w:tc>
        <w:tc>
          <w:tcPr>
            <w:tcW w:type="dxa" w:w="14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8-12 hrs</w:t>
            </w:r>
          </w:p>
        </w:tc>
        <w:tc>
          <w:tcPr>
            <w:tcW w:type="dxa" w:w="4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Write DB prompts (4). Design portfolio scaffolding (5 pieces). Build rubrics (3). Write grading guides.</w:t>
            </w:r>
          </w:p>
        </w:tc>
      </w:tr>
      <w:tr>
        <w:tc>
          <w:tcPr>
            <w:tcW w:type="dxa" w:w="24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4. Instructional Content Creation</w:t>
            </w:r>
          </w:p>
        </w:tc>
        <w:tc>
          <w:tcPr>
            <w:tcW w:type="dxa" w:w="14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30-40 hrs</w:t>
            </w:r>
          </w:p>
        </w:tc>
        <w:tc>
          <w:tcPr>
            <w:tcW w:type="dxa" w:w="14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20-30 hrs</w:t>
            </w:r>
          </w:p>
        </w:tc>
        <w:tc>
          <w:tcPr>
            <w:tcW w:type="dxa" w:w="4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Create or curate IC items for each module. Record/source videos. Write guided notes. Add knowledge checks. Cannot be templated — content expertise required.</w:t>
            </w:r>
          </w:p>
        </w:tc>
      </w:tr>
      <w:tr>
        <w:tc>
          <w:tcPr>
            <w:tcW w:type="dxa" w:w="24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5. Canvas Build &amp; Organization</w:t>
            </w:r>
          </w:p>
        </w:tc>
        <w:tc>
          <w:tcPr>
            <w:tcW w:type="dxa" w:w="14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20-25 hrs</w:t>
            </w:r>
          </w:p>
        </w:tc>
        <w:tc>
          <w:tcPr>
            <w:tcW w:type="dxa" w:w="14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8-12 hrs</w:t>
            </w:r>
          </w:p>
        </w:tc>
        <w:tc>
          <w:tcPr>
            <w:tcW w:type="dxa" w:w="4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Build modules in Canvas. Upload all materials. Configure quiz settings, due dates, gradebook. Apply consistent naming conventions.</w:t>
            </w:r>
          </w:p>
        </w:tc>
      </w:tr>
      <w:tr>
        <w:tc>
          <w:tcPr>
            <w:tcW w:type="dxa" w:w="24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6. QM Alignment &amp; Documentation</w:t>
            </w:r>
          </w:p>
        </w:tc>
        <w:tc>
          <w:tcPr>
            <w:tcW w:type="dxa" w:w="14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15-20 hrs</w:t>
            </w:r>
          </w:p>
        </w:tc>
        <w:tc>
          <w:tcPr>
            <w:tcW w:type="dxa" w:w="14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5-8 hrs</w:t>
            </w:r>
          </w:p>
        </w:tc>
        <w:tc>
          <w:tcPr>
            <w:tcW w:type="dxa" w:w="4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Complete QM alignment documentation. Write teaching plan. Verify all standards. Prepare certification materials.</w:t>
            </w:r>
          </w:p>
        </w:tc>
      </w:tr>
      <w:tr>
        <w:tc>
          <w:tcPr>
            <w:tcW w:type="dxa" w:w="24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7. Review, Test &amp; Launch Prep</w:t>
            </w:r>
          </w:p>
        </w:tc>
        <w:tc>
          <w:tcPr>
            <w:tcW w:type="dxa" w:w="14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10-15 hrs</w:t>
            </w:r>
          </w:p>
        </w:tc>
        <w:tc>
          <w:tcPr>
            <w:tcW w:type="dxa" w:w="14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5-8 hrs</w:t>
            </w:r>
          </w:p>
        </w:tc>
        <w:tc>
          <w:tcPr>
            <w:tcW w:type="dxa" w:w="4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Student view review. Link checking. Accessibility review (alt text, captions). Test quiz submissions. Write welcome/intro content.</w:t>
            </w:r>
          </w:p>
        </w:tc>
      </w:tr>
      <w:tr>
        <w:tc>
          <w:tcPr>
            <w:tcW w:type="dxa" w:w="24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top"/>
          </w:tcPr>
          <w:p>
            <w:pPr>
              <w:spacing w:before="0" w:after="0"/>
              <w:jc w:val="left"/>
            </w:pPr>
            <w:r>
              <w:rPr>
                <w:rFonts w:ascii="Calibri" w:cs="Calibri" w:eastAsia="Calibri" w:hAnsi="Calibri"/>
                <w:b/>
                <w:bCs/>
                <w:color w:val="FFFFFF"/>
                <w:sz w:val="17"/>
                <w:szCs w:val="17"/>
              </w:rPr>
              <w:t xml:space="preserve">TOTALS</w:t>
            </w:r>
          </w:p>
        </w:tc>
        <w:tc>
          <w:tcPr>
            <w:tcW w:type="dxa" w:w="1400"/>
            <w:gridSpan w:val="1"/>
            <w:tcBorders>
              <w:top w:val="single" w:color="DDE3EB" w:sz="4"/>
              <w:left w:val="single" w:color="DDE3EB" w:sz="4"/>
              <w:bottom w:val="single" w:color="DDE3EB" w:sz="4"/>
              <w:right w:val="single" w:color="DDE3EB" w:sz="4"/>
            </w:tcBorders>
            <w:shd w:fill="C9A84C"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150-200 hrs</w:t>
            </w:r>
          </w:p>
        </w:tc>
        <w:tc>
          <w:tcPr>
            <w:tcW w:type="dxa" w:w="1400"/>
            <w:gridSpan w:val="1"/>
            <w:tcBorders>
              <w:top w:val="single" w:color="DDE3EB" w:sz="4"/>
              <w:left w:val="single" w:color="DDE3EB" w:sz="4"/>
              <w:bottom w:val="single" w:color="DDE3EB" w:sz="4"/>
              <w:right w:val="single" w:color="DDE3EB" w:sz="4"/>
            </w:tcBorders>
            <w:shd w:fill="1B5E2C" w:val="clear"/>
            <w:tcMar>
              <w:top w:type="dxa" w:w="100"/>
              <w:left w:type="dxa" w:w="140"/>
              <w:bottom w:type="dxa" w:w="100"/>
              <w:right w:type="dxa" w:w="140"/>
            </w:tcMar>
            <w:vAlign w:val="top"/>
          </w:tcPr>
          <w:p>
            <w:pPr>
              <w:spacing w:before="0" w:after="0"/>
              <w:jc w:val="left"/>
            </w:pPr>
            <w:r>
              <w:rPr>
                <w:rFonts w:ascii="Calibri" w:cs="Calibri" w:eastAsia="Calibri" w:hAnsi="Calibri"/>
                <w:b/>
                <w:bCs/>
                <w:color w:val="FFFFFF"/>
                <w:sz w:val="17"/>
                <w:szCs w:val="17"/>
              </w:rPr>
              <w:t xml:space="preserve">64-97 hrs</w:t>
            </w:r>
          </w:p>
        </w:tc>
        <w:tc>
          <w:tcPr>
            <w:tcW w:type="dxa" w:w="416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With HQCDP framework, templates, and coaching: 35-50% time reduction on average</w:t>
            </w:r>
          </w:p>
        </w:tc>
      </w:tr>
    </w:tbl>
    <w:p>
      <w:pPr>
        <w:spacing w:before="60" w:after="20"/>
        <w:jc w:val="left"/>
      </w:pPr>
      <w:r>
        <w:rPr>
          <w:rFonts w:ascii="Calibri" w:cs="Calibri" w:eastAsia="Calibri" w:hAnsi="Calibri"/>
          <w:b w:val="false"/>
          <w:bCs w:val="false"/>
          <w:color w:val="1A1A2E"/>
          <w:sz w:val="20"/>
          <w:szCs w:val="20"/>
        </w:rPr>
        <w:t xml:space="preserve"/>
      </w:r>
    </w:p>
    <w:p>
      <w:pPr>
        <w:shd w:fill="E8F5EC" w:val="clear"/>
        <w:spacing w:before="60" w:after="60"/>
      </w:pPr>
      <w:r>
        <w:rPr>
          <w:rFonts w:ascii="Calibri" w:cs="Calibri" w:eastAsia="Calibri" w:hAnsi="Calibri"/>
          <w:b w:val="false"/>
          <w:bCs w:val="false"/>
          <w:color w:val="1B5E2C"/>
          <w:sz w:val="18"/>
          <w:szCs w:val="18"/>
        </w:rPr>
        <w:t xml:space="preserve">  The time savings compound: each course built on the framework makes the next course faster. A faculty member who builds three courses with HQCDP support is spending 15-20% of the time they would have spent without it — and producing a higher-quality, certifiable result.</w:t>
      </w:r>
    </w:p>
    <w:p>
      <w:r>
        <w:br w:type="page"/>
      </w:r>
    </w:p>
    <w:p>
      <w:pPr>
        <w:shd w:fill="3D1B6B" w:val="clear"/>
        <w:spacing w:before="160" w:after="70"/>
      </w:pPr>
      <w:r>
        <w:rPr>
          <w:rFonts w:ascii="Calibri" w:cs="Calibri" w:eastAsia="Calibri" w:hAnsi="Calibri"/>
          <w:b/>
          <w:bCs/>
          <w:color w:val="FFFFFF"/>
          <w:sz w:val="21"/>
          <w:szCs w:val="21"/>
        </w:rPr>
        <w:t xml:space="preserve">  SECTION 5  |  OER vs. Third-Party Content  |  The Case for Ownership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Dimension</w:t>
            </w:r>
          </w:p>
        </w:tc>
        <w:tc>
          <w:tcPr>
            <w:tcW w:type="dxa" w:w="3480"/>
            <w:gridSpan w:val="1"/>
            <w:tcBorders>
              <w:top w:val="single" w:color="DDE3EB" w:sz="4"/>
              <w:left w:val="single" w:color="DDE3EB" w:sz="4"/>
              <w:bottom w:val="single" w:color="DDE3EB" w:sz="4"/>
              <w:right w:val="single" w:color="DDE3EB" w:sz="4"/>
            </w:tcBorders>
            <w:shd w:fill="1B5E2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OER (Open Educational Resources)</w:t>
            </w:r>
          </w:p>
        </w:tc>
        <w:tc>
          <w:tcPr>
            <w:tcW w:type="dxa" w:w="3480"/>
            <w:gridSpan w:val="1"/>
            <w:tcBorders>
              <w:top w:val="single" w:color="DDE3EB" w:sz="4"/>
              <w:left w:val="single" w:color="DDE3EB" w:sz="4"/>
              <w:bottom w:val="single" w:color="DDE3EB" w:sz="4"/>
              <w:right w:val="single" w:color="DDE3EB" w:sz="4"/>
            </w:tcBorders>
            <w:shd w:fill="6B1B1B"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Third-Party Publisher Materials</w:t>
            </w:r>
          </w:p>
        </w:tc>
      </w:tr>
      <w:tr>
        <w:tc>
          <w:tcPr>
            <w:tcW w:type="dxa" w:w="2400"/>
            <w:gridSpan w:val="1"/>
            <w:tcBorders>
              <w:top w:val="single" w:color="DDE3EB" w:sz="4"/>
              <w:left w:val="single" w:color="DDE3EB" w:sz="4"/>
              <w:bottom w:val="single" w:color="DDE3EB" w:sz="4"/>
              <w:right w:val="single" w:color="DDE3EB" w:sz="4"/>
            </w:tcBorders>
            <w:shd w:fill="F0F2F5"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Student Cost</w:t>
            </w:r>
          </w:p>
        </w:tc>
        <w:tc>
          <w:tcPr>
            <w:tcW w:type="dxa" w:w="348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$0 — zero barrier to access on Day 1</w:t>
            </w:r>
          </w:p>
        </w:tc>
        <w:tc>
          <w:tcPr>
            <w:tcW w:type="dxa" w:w="3480"/>
            <w:gridSpan w:val="1"/>
            <w:tcBorders>
              <w:top w:val="single" w:color="DDE3EB" w:sz="4"/>
              <w:left w:val="single" w:color="DDE3EB" w:sz="4"/>
              <w:bottom w:val="single" w:color="DDE3EB" w:sz="4"/>
              <w:right w:val="single" w:color="DDE3EB" w:sz="4"/>
            </w:tcBorders>
            <w:shd w:fill="FBF0F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$150-300+ per course; students may wait weeks for financial aid; some never purchase</w:t>
            </w:r>
          </w:p>
        </w:tc>
      </w:tr>
      <w:tr>
        <w:tc>
          <w:tcPr>
            <w:tcW w:type="dxa" w:w="2400"/>
            <w:gridSpan w:val="1"/>
            <w:tcBorders>
              <w:top w:val="single" w:color="DDE3EB" w:sz="4"/>
              <w:left w:val="single" w:color="DDE3EB" w:sz="4"/>
              <w:bottom w:val="single" w:color="DDE3EB" w:sz="4"/>
              <w:right w:val="single" w:color="DDE3EB" w:sz="4"/>
            </w:tcBorders>
            <w:shd w:fill="F0F2F5"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Access Equity</w:t>
            </w:r>
          </w:p>
        </w:tc>
        <w:tc>
          <w:tcPr>
            <w:tcW w:type="dxa" w:w="348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Every student has full access from Module 1 regardless of financial situation</w:t>
            </w:r>
          </w:p>
        </w:tc>
        <w:tc>
          <w:tcPr>
            <w:tcW w:type="dxa" w:w="3480"/>
            <w:gridSpan w:val="1"/>
            <w:tcBorders>
              <w:top w:val="single" w:color="DDE3EB" w:sz="4"/>
              <w:left w:val="single" w:color="DDE3EB" w:sz="4"/>
              <w:bottom w:val="single" w:color="DDE3EB" w:sz="4"/>
              <w:right w:val="single" w:color="DDE3EB" w:sz="4"/>
            </w:tcBorders>
            <w:shd w:fill="FBF0F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Students without access may fall behind before the semester starts</w:t>
            </w:r>
          </w:p>
        </w:tc>
      </w:tr>
      <w:tr>
        <w:tc>
          <w:tcPr>
            <w:tcW w:type="dxa" w:w="2400"/>
            <w:gridSpan w:val="1"/>
            <w:tcBorders>
              <w:top w:val="single" w:color="DDE3EB" w:sz="4"/>
              <w:left w:val="single" w:color="DDE3EB" w:sz="4"/>
              <w:bottom w:val="single" w:color="DDE3EB" w:sz="4"/>
              <w:right w:val="single" w:color="DDE3EB" w:sz="4"/>
            </w:tcBorders>
            <w:shd w:fill="F0F2F5"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Instructor Control</w:t>
            </w:r>
          </w:p>
        </w:tc>
        <w:tc>
          <w:tcPr>
            <w:tcW w:type="dxa" w:w="348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Full customization — edit, annotate, reorder, excerpt as needed</w:t>
            </w:r>
          </w:p>
        </w:tc>
        <w:tc>
          <w:tcPr>
            <w:tcW w:type="dxa" w:w="3480"/>
            <w:gridSpan w:val="1"/>
            <w:tcBorders>
              <w:top w:val="single" w:color="DDE3EB" w:sz="4"/>
              <w:left w:val="single" w:color="DDE3EB" w:sz="4"/>
              <w:bottom w:val="single" w:color="DDE3EB" w:sz="4"/>
              <w:right w:val="single" w:color="DDE3EB" w:sz="4"/>
            </w:tcBorders>
            <w:shd w:fill="FBF0F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Usage restricted by copyright; cannot modify or adapt; must use as-is</w:t>
            </w:r>
          </w:p>
        </w:tc>
      </w:tr>
      <w:tr>
        <w:tc>
          <w:tcPr>
            <w:tcW w:type="dxa" w:w="2400"/>
            <w:gridSpan w:val="1"/>
            <w:tcBorders>
              <w:top w:val="single" w:color="DDE3EB" w:sz="4"/>
              <w:left w:val="single" w:color="DDE3EB" w:sz="4"/>
              <w:bottom w:val="single" w:color="DDE3EB" w:sz="4"/>
              <w:right w:val="single" w:color="DDE3EB" w:sz="4"/>
            </w:tcBorders>
            <w:shd w:fill="F0F2F5"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Canvas Integration</w:t>
            </w:r>
          </w:p>
        </w:tc>
        <w:tc>
          <w:tcPr>
            <w:tcW w:type="dxa" w:w="348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Can be embedded directly, linked, or excerpted within Canvas — no LTI required</w:t>
            </w:r>
          </w:p>
        </w:tc>
        <w:tc>
          <w:tcPr>
            <w:tcW w:type="dxa" w:w="3480"/>
            <w:gridSpan w:val="1"/>
            <w:tcBorders>
              <w:top w:val="single" w:color="DDE3EB" w:sz="4"/>
              <w:left w:val="single" w:color="DDE3EB" w:sz="4"/>
              <w:bottom w:val="single" w:color="DDE3EB" w:sz="4"/>
              <w:right w:val="single" w:color="DDE3EB" w:sz="4"/>
            </w:tcBorders>
            <w:shd w:fill="FBF0F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Often requires publisher LTI integration; adds technical complexity and failure points</w:t>
            </w:r>
          </w:p>
        </w:tc>
      </w:tr>
      <w:tr>
        <w:tc>
          <w:tcPr>
            <w:tcW w:type="dxa" w:w="2400"/>
            <w:gridSpan w:val="1"/>
            <w:tcBorders>
              <w:top w:val="single" w:color="DDE3EB" w:sz="4"/>
              <w:left w:val="single" w:color="DDE3EB" w:sz="4"/>
              <w:bottom w:val="single" w:color="DDE3EB" w:sz="4"/>
              <w:right w:val="single" w:color="DDE3EB" w:sz="4"/>
            </w:tcBorders>
            <w:shd w:fill="F0F2F5"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Long-Term Stability</w:t>
            </w:r>
          </w:p>
        </w:tc>
        <w:tc>
          <w:tcPr>
            <w:tcW w:type="dxa" w:w="348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Faculty-controlled; never goes out of print; URL stability managed by institution</w:t>
            </w:r>
          </w:p>
        </w:tc>
        <w:tc>
          <w:tcPr>
            <w:tcW w:type="dxa" w:w="3480"/>
            <w:gridSpan w:val="1"/>
            <w:tcBorders>
              <w:top w:val="single" w:color="DDE3EB" w:sz="4"/>
              <w:left w:val="single" w:color="DDE3EB" w:sz="4"/>
              <w:bottom w:val="single" w:color="DDE3EB" w:sz="4"/>
              <w:right w:val="single" w:color="DDE3EB" w:sz="4"/>
            </w:tcBorders>
            <w:shd w:fill="FBF0F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Publisher can change editions, discontinue, or change pricing without notice</w:t>
            </w:r>
          </w:p>
        </w:tc>
      </w:tr>
      <w:tr>
        <w:tc>
          <w:tcPr>
            <w:tcW w:type="dxa" w:w="2400"/>
            <w:gridSpan w:val="1"/>
            <w:tcBorders>
              <w:top w:val="single" w:color="DDE3EB" w:sz="4"/>
              <w:left w:val="single" w:color="DDE3EB" w:sz="4"/>
              <w:bottom w:val="single" w:color="DDE3EB" w:sz="4"/>
              <w:right w:val="single" w:color="DDE3EB" w:sz="4"/>
            </w:tcBorders>
            <w:shd w:fill="F0F2F5"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QM Alignment (6.1)</w:t>
            </w:r>
          </w:p>
        </w:tc>
        <w:tc>
          <w:tcPr>
            <w:tcW w:type="dxa" w:w="348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Transparent cost ($0) and access — fully satisfies QM 6.1 disclosure requirement</w:t>
            </w:r>
          </w:p>
        </w:tc>
        <w:tc>
          <w:tcPr>
            <w:tcW w:type="dxa" w:w="3480"/>
            <w:gridSpan w:val="1"/>
            <w:tcBorders>
              <w:top w:val="single" w:color="DDE3EB" w:sz="4"/>
              <w:left w:val="single" w:color="DDE3EB" w:sz="4"/>
              <w:bottom w:val="single" w:color="DDE3EB" w:sz="4"/>
              <w:right w:val="single" w:color="DDE3EB" w:sz="4"/>
            </w:tcBorders>
            <w:shd w:fill="FBF0F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Must disclose cost and access requirements; financial burden must be justified</w:t>
            </w:r>
          </w:p>
        </w:tc>
      </w:tr>
      <w:tr>
        <w:tc>
          <w:tcPr>
            <w:tcW w:type="dxa" w:w="2400"/>
            <w:gridSpan w:val="1"/>
            <w:tcBorders>
              <w:top w:val="single" w:color="DDE3EB" w:sz="4"/>
              <w:left w:val="single" w:color="DDE3EB" w:sz="4"/>
              <w:bottom w:val="single" w:color="DDE3EB" w:sz="4"/>
              <w:right w:val="single" w:color="DDE3EB" w:sz="4"/>
            </w:tcBorders>
            <w:shd w:fill="F0F2F5"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Course Differentiation</w:t>
            </w:r>
          </w:p>
        </w:tc>
        <w:tc>
          <w:tcPr>
            <w:tcW w:type="dxa" w:w="348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Enables unique course identity; faculty can build around specific OER that aligns with their pedagogy</w:t>
            </w:r>
          </w:p>
        </w:tc>
        <w:tc>
          <w:tcPr>
            <w:tcW w:type="dxa" w:w="3480"/>
            <w:gridSpan w:val="1"/>
            <w:tcBorders>
              <w:top w:val="single" w:color="DDE3EB" w:sz="4"/>
              <w:left w:val="single" w:color="DDE3EB" w:sz="4"/>
              <w:bottom w:val="single" w:color="DDE3EB" w:sz="4"/>
              <w:right w:val="single" w:color="DDE3EB" w:sz="4"/>
            </w:tcBorders>
            <w:shd w:fill="FBF0F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All institutions using the same publisher may produce similar courses — less faculty intellectual investment</w:t>
            </w:r>
          </w:p>
        </w:tc>
      </w:tr>
      <w:tr>
        <w:tc>
          <w:tcPr>
            <w:tcW w:type="dxa" w:w="2400"/>
            <w:gridSpan w:val="1"/>
            <w:tcBorders>
              <w:top w:val="single" w:color="DDE3EB" w:sz="4"/>
              <w:left w:val="single" w:color="DDE3EB" w:sz="4"/>
              <w:bottom w:val="single" w:color="DDE3EB" w:sz="4"/>
              <w:right w:val="single" w:color="DDE3EB" w:sz="4"/>
            </w:tcBorders>
            <w:shd w:fill="F0F2F5"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Accreditation Risk</w:t>
            </w:r>
          </w:p>
        </w:tc>
        <w:tc>
          <w:tcPr>
            <w:tcW w:type="dxa" w:w="348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No vendor dependency; institution controls the content</w:t>
            </w:r>
          </w:p>
        </w:tc>
        <w:tc>
          <w:tcPr>
            <w:tcW w:type="dxa" w:w="3480"/>
            <w:gridSpan w:val="1"/>
            <w:tcBorders>
              <w:top w:val="single" w:color="DDE3EB" w:sz="4"/>
              <w:left w:val="single" w:color="DDE3EB" w:sz="4"/>
              <w:bottom w:val="single" w:color="DDE3EB" w:sz="4"/>
              <w:right w:val="single" w:color="DDE3EB" w:sz="4"/>
            </w:tcBorders>
            <w:shd w:fill="FBF0F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Publisher changes (price, platform, availability) can create course-by-course accreditation complications</w:t>
            </w:r>
          </w:p>
        </w:tc>
      </w:tr>
      <w:tr>
        <w:tc>
          <w:tcPr>
            <w:tcW w:type="dxa" w:w="2400"/>
            <w:gridSpan w:val="1"/>
            <w:tcBorders>
              <w:top w:val="single" w:color="DDE3EB" w:sz="4"/>
              <w:left w:val="single" w:color="DDE3EB" w:sz="4"/>
              <w:bottom w:val="single" w:color="DDE3EB" w:sz="4"/>
              <w:right w:val="single" w:color="DDE3EB" w:sz="4"/>
            </w:tcBorders>
            <w:shd w:fill="F0F2F5"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Quality (Common Concern)</w:t>
            </w:r>
          </w:p>
        </w:tc>
        <w:tc>
          <w:tcPr>
            <w:tcW w:type="dxa" w:w="348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The American Yawp: peer-reviewed, used at 300+ institutions, regularly updated, AHA-endorsed</w:t>
            </w:r>
          </w:p>
        </w:tc>
        <w:tc>
          <w:tcPr>
            <w:tcW w:type="dxa" w:w="3480"/>
            <w:gridSpan w:val="1"/>
            <w:tcBorders>
              <w:top w:val="single" w:color="DDE3EB" w:sz="4"/>
              <w:left w:val="single" w:color="DDE3EB" w:sz="4"/>
              <w:bottom w:val="single" w:color="DDE3EB" w:sz="4"/>
              <w:right w:val="single" w:color="DDE3EB" w:sz="4"/>
            </w:tcBorders>
            <w:shd w:fill="FBF0F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High production quality; often includes test banks, LMS integration — but quality is bundled with cost</w:t>
            </w:r>
          </w:p>
        </w:tc>
      </w:tr>
    </w:tbl>
    <w:p>
      <w:pPr>
        <w:spacing w:before="60" w:after="20"/>
        <w:jc w:val="left"/>
      </w:pPr>
      <w:r>
        <w:rPr>
          <w:rFonts w:ascii="Calibri" w:cs="Calibri" w:eastAsia="Calibri" w:hAnsi="Calibri"/>
          <w:b w:val="false"/>
          <w:bCs w:val="false"/>
          <w:color w:val="1A1A2E"/>
          <w:sz w:val="20"/>
          <w:szCs w:val="20"/>
        </w:rPr>
        <w:t xml:space="preserve"/>
      </w:r>
    </w:p>
    <w:p>
      <w:pPr>
        <w:shd w:fill="E8F5EC" w:val="clear"/>
        <w:spacing w:before="60" w:after="60"/>
      </w:pPr>
      <w:r>
        <w:rPr>
          <w:rFonts w:ascii="Calibri" w:cs="Calibri" w:eastAsia="Calibri" w:hAnsi="Calibri"/>
          <w:b w:val="false"/>
          <w:bCs w:val="false"/>
          <w:color w:val="1B5E2C"/>
          <w:sz w:val="18"/>
          <w:szCs w:val="18"/>
        </w:rPr>
        <w:t xml:space="preserve">  The American Yawp is not a compromise — it is a deliberate equity decision. When a student cannot afford the textbook, all the instructional design in the world cannot save their grade. OER removes that variable entirely.</w:t>
      </w:r>
    </w:p>
    <w:p>
      <w:r>
        <w:br w:type="page"/>
      </w:r>
    </w:p>
    <w:p>
      <w:pPr>
        <w:shd w:fill="1B6CA8" w:val="clear"/>
        <w:spacing w:before="160" w:after="70"/>
      </w:pPr>
      <w:r>
        <w:rPr>
          <w:rFonts w:ascii="Calibri" w:cs="Calibri" w:eastAsia="Calibri" w:hAnsi="Calibri"/>
          <w:b/>
          <w:bCs/>
          <w:color w:val="FFFFFF"/>
          <w:sz w:val="21"/>
          <w:szCs w:val="21"/>
        </w:rPr>
        <w:t xml:space="preserve">  SECTION 6  |  Canvas as a Course Design Platform  |  Features &amp; Tools</w:t>
      </w:r>
    </w:p>
    <w:p>
      <w:pPr>
        <w:spacing w:before="40" w:after="40"/>
        <w:jc w:val="left"/>
      </w:pPr>
      <w:r>
        <w:rPr>
          <w:rFonts w:ascii="Calibri" w:cs="Calibri" w:eastAsia="Calibri" w:hAnsi="Calibri"/>
          <w:b w:val="false"/>
          <w:bCs w:val="false"/>
          <w:color w:val="1A1A2E"/>
          <w:sz w:val="19"/>
          <w:szCs w:val="19"/>
        </w:rPr>
        <w:t xml:space="preserve">Canvas is not just a content delivery system — it is a course architecture platform when used intentionally. The HQCDP framework leverages the following Canvas features systematically.</w:t>
      </w:r>
    </w:p>
    <w:p>
      <w:pPr>
        <w:spacing w:before="20" w:after="10"/>
        <w:jc w:val="left"/>
      </w:pPr>
      <w:r>
        <w:rPr>
          <w:rFonts w:ascii="Calibri" w:cs="Calibri" w:eastAsia="Calibri" w:hAnsi="Calibri"/>
          <w:b w:val="false"/>
          <w:bCs w:val="false"/>
          <w:color w:val="1A1A2E"/>
          <w:sz w:val="20"/>
          <w:szCs w:val="20"/>
        </w:rPr>
        <w:t xml:space="preserve"/>
      </w:r>
    </w:p>
    <w:p>
      <w:pPr>
        <w:pBdr>
          <w:bottom w:val="single" w:color="1B6CA8" w:sz="6"/>
        </w:pBdr>
        <w:spacing w:before="120" w:after="50"/>
      </w:pPr>
      <w:r>
        <w:rPr>
          <w:rFonts w:ascii="Calibri" w:cs="Calibri" w:eastAsia="Calibri" w:hAnsi="Calibri"/>
          <w:b/>
          <w:bCs/>
          <w:color w:val="1B6CA8"/>
          <w:sz w:val="21"/>
          <w:szCs w:val="21"/>
        </w:rPr>
        <w:t xml:space="preserve">Canvas Features Used in HQCDP Courses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4760"/>
      </w:tblGrid>
      <w:tr>
        <w:tc>
          <w:tcPr>
            <w:tcW w:type="dxa" w:w="22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Feature</w:t>
            </w:r>
          </w:p>
        </w:tc>
        <w:tc>
          <w:tcPr>
            <w:tcW w:type="dxa" w:w="24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HQCDP Application</w:t>
            </w:r>
          </w:p>
        </w:tc>
        <w:tc>
          <w:tcPr>
            <w:tcW w:type="dxa" w:w="476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QM / Pedagogical Benefit</w:t>
            </w:r>
          </w:p>
        </w:tc>
      </w:tr>
      <w:tr>
        <w:tc>
          <w:tcPr>
            <w:tcW w:type="dxa" w:w="22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Module Structure with Prerequisites</w:t>
            </w:r>
          </w:p>
        </w:tc>
        <w:tc>
          <w:tcPr>
            <w:tcW w:type="dxa" w:w="24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Each module unlocked sequentially — students complete Learn before Practice before Apply</w:t>
            </w:r>
          </w:p>
        </w:tc>
        <w:tc>
          <w:tcPr>
            <w:tcW w:type="dxa" w:w="4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Enforces the four-phase cycle. Prevents students from attempting Apply before building foundational knowledge. QM 1.1.</w:t>
            </w:r>
          </w:p>
        </w:tc>
      </w:tr>
      <w:tr>
        <w:tc>
          <w:tcPr>
            <w:tcW w:type="dxa" w:w="22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Quiz Engine (auto-grade)</w:t>
            </w:r>
          </w:p>
        </w:tc>
        <w:tc>
          <w:tcPr>
            <w:tcW w:type="dxa" w:w="24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LA1-LA3, Module Quizzes, Midterm, Final — all built in Canvas Quiz builder with immediate feedback</w:t>
            </w:r>
          </w:p>
        </w:tc>
        <w:tc>
          <w:tcPr>
            <w:tcW w:type="dxa" w:w="4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Multiple attempts, instant score, question banks enable genuine practice-based learning. QM 3.3. Eliminates manual grading of 49% of course points.</w:t>
            </w:r>
          </w:p>
        </w:tc>
      </w:tr>
      <w:tr>
        <w:tc>
          <w:tcPr>
            <w:tcW w:type="dxa" w:w="22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Assignment Submission (SpeedGrader)</w:t>
            </w:r>
          </w:p>
        </w:tc>
        <w:tc>
          <w:tcPr>
            <w:tcW w:type="dxa" w:w="24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Portfolio pieces and DBs submitted, graded, and returned with individualized comments in SpeedGrader</w:t>
            </w:r>
          </w:p>
        </w:tc>
        <w:tc>
          <w:tcPr>
            <w:tcW w:type="dxa" w:w="4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SpeedGrader + rubric = streamlined instructor grading with documented, downloadable feedback. Supports RSI documentation.</w:t>
            </w:r>
          </w:p>
        </w:tc>
      </w:tr>
      <w:tr>
        <w:tc>
          <w:tcPr>
            <w:tcW w:type="dxa" w:w="22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Rubric Builder</w:t>
            </w:r>
          </w:p>
        </w:tc>
        <w:tc>
          <w:tcPr>
            <w:tcW w:type="dxa" w:w="24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Three rubrics built once, attached to every applicable assignment</w:t>
            </w:r>
          </w:p>
        </w:tc>
        <w:tc>
          <w:tcPr>
            <w:tcW w:type="dxa" w:w="4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Single-build, infinite reuse. Students see rubric before submitting. Instructor grading is calibrated and consistent. QM 3.2.</w:t>
            </w:r>
          </w:p>
        </w:tc>
      </w:tr>
      <w:tr>
        <w:tc>
          <w:tcPr>
            <w:tcW w:type="dxa" w:w="22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Gradebook &amp; Weighted Groups</w:t>
            </w:r>
          </w:p>
        </w:tc>
        <w:tc>
          <w:tcPr>
            <w:tcW w:type="dxa" w:w="24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Grade groups: Learning Activities, Apply Tasks, Assessments, Portfolio — with percentage weights</w:t>
            </w:r>
          </w:p>
        </w:tc>
        <w:tc>
          <w:tcPr>
            <w:tcW w:type="dxa" w:w="4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Transparent grading structure. Students can always see their standing. Aligns to syllabus grade distribution.</w:t>
            </w:r>
          </w:p>
        </w:tc>
      </w:tr>
      <w:tr>
        <w:tc>
          <w:tcPr>
            <w:tcW w:type="dxa" w:w="22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Announcements (scheduled)</w:t>
            </w:r>
          </w:p>
        </w:tc>
        <w:tc>
          <w:tcPr>
            <w:tcW w:type="dxa" w:w="24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Eight module-opening announcements scheduled in advance — instructor-authored, educational in nature</w:t>
            </w:r>
          </w:p>
        </w:tc>
        <w:tc>
          <w:tcPr>
            <w:tcW w:type="dxa" w:w="4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Primary mechanism for regular instructor presence (RSI). Can be written at course build and scheduled — proactive, not reactive.</w:t>
            </w:r>
          </w:p>
        </w:tc>
      </w:tr>
      <w:tr>
        <w:tc>
          <w:tcPr>
            <w:tcW w:type="dxa" w:w="22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Pages (IC delivery)</w:t>
            </w:r>
          </w:p>
        </w:tc>
        <w:tc>
          <w:tcPr>
            <w:tcW w:type="dxa" w:w="24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Instructional Content (IC) items built as Canvas Pages with embedded links, images, and knowledge checks</w:t>
            </w:r>
          </w:p>
        </w:tc>
        <w:tc>
          <w:tcPr>
            <w:tcW w:type="dxa" w:w="4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Self-contained content delivery — no LTI, no publisher login required. Works on mobile. Fully accessible.</w:t>
            </w:r>
          </w:p>
        </w:tc>
      </w:tr>
      <w:tr>
        <w:tc>
          <w:tcPr>
            <w:tcW w:type="dxa" w:w="22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Discussion Boards</w:t>
            </w:r>
          </w:p>
        </w:tc>
        <w:tc>
          <w:tcPr>
            <w:tcW w:type="dxa" w:w="24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Four discussion boards with threaded replies, instructor participation, and peer response requirements</w:t>
            </w:r>
          </w:p>
        </w:tc>
        <w:tc>
          <w:tcPr>
            <w:tcW w:type="dxa" w:w="4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QM 5.2, 5.3 — student-instructor and student-student interaction. SpeedGrader grading with rubric. RSI-documented.</w:t>
            </w:r>
          </w:p>
        </w:tc>
      </w:tr>
      <w:tr>
        <w:tc>
          <w:tcPr>
            <w:tcW w:type="dxa" w:w="22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Course Import / Master Shell</w:t>
            </w:r>
          </w:p>
        </w:tc>
        <w:tc>
          <w:tcPr>
            <w:tcW w:type="dxa" w:w="24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Entire course structure copied to new section in minutes via Course Import</w:t>
            </w:r>
          </w:p>
        </w:tc>
        <w:tc>
          <w:tcPr>
            <w:tcW w:type="dxa" w:w="4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Scales the framework across multiple sections and semesters without rebuilding. Critical for cohort model adoption.</w:t>
            </w:r>
          </w:p>
        </w:tc>
      </w:tr>
      <w:tr>
        <w:tc>
          <w:tcPr>
            <w:tcW w:type="dxa" w:w="22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Student View</w:t>
            </w:r>
          </w:p>
        </w:tc>
        <w:tc>
          <w:tcPr>
            <w:tcW w:type="dxa" w:w="24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Faculty can preview course as a student before launch</w:t>
            </w:r>
          </w:p>
        </w:tc>
        <w:tc>
          <w:tcPr>
            <w:tcW w:type="dxa" w:w="4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QM usability check — ensures navigation, instructions, and module sequence work as designed.</w:t>
            </w:r>
          </w:p>
        </w:tc>
      </w:tr>
      <w:tr>
        <w:tc>
          <w:tcPr>
            <w:tcW w:type="dxa" w:w="22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New Analytics / Course Activity Report</w:t>
            </w:r>
          </w:p>
        </w:tc>
        <w:tc>
          <w:tcPr>
            <w:tcW w:type="dxa" w:w="24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Track student engagement, time-on-task, login patterns</w:t>
            </w:r>
          </w:p>
        </w:tc>
        <w:tc>
          <w:tcPr>
            <w:tcW w:type="dxa" w:w="4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Early alert data — identifies at-risk students before they fall too far behind. Supports instructor RSI targeting.</w:t>
            </w:r>
          </w:p>
        </w:tc>
      </w:tr>
    </w:tbl>
    <w:p>
      <w:pPr>
        <w:spacing w:before="60" w:after="20"/>
        <w:jc w:val="left"/>
      </w:pPr>
      <w:r>
        <w:rPr>
          <w:rFonts w:ascii="Calibri" w:cs="Calibri" w:eastAsia="Calibri" w:hAnsi="Calibri"/>
          <w:b w:val="false"/>
          <w:bCs w:val="false"/>
          <w:color w:val="1A1A2E"/>
          <w:sz w:val="20"/>
          <w:szCs w:val="20"/>
        </w:rPr>
        <w:t xml:space="preserve"/>
      </w:r>
    </w:p>
    <w:p>
      <w:pPr>
        <w:pBdr>
          <w:bottom w:val="single" w:color="1B6CA8" w:sz="6"/>
        </w:pBdr>
        <w:spacing w:before="120" w:after="50"/>
      </w:pPr>
      <w:r>
        <w:rPr>
          <w:rFonts w:ascii="Calibri" w:cs="Calibri" w:eastAsia="Calibri" w:hAnsi="Calibri"/>
          <w:b/>
          <w:bCs/>
          <w:color w:val="1B6CA8"/>
          <w:sz w:val="21"/>
          <w:szCs w:val="21"/>
        </w:rPr>
        <w:t xml:space="preserve">Canvas Templates &amp; Organizational Tools for Faculty</w:t>
      </w:r>
    </w:p>
    <w:p>
      <w:pPr>
        <w:spacing w:before="40" w:after="40"/>
        <w:jc w:val="left"/>
      </w:pPr>
      <w:r>
        <w:rPr>
          <w:rFonts w:ascii="Calibri" w:cs="Calibri" w:eastAsia="Calibri" w:hAnsi="Calibri"/>
          <w:b w:val="false"/>
          <w:bCs w:val="false"/>
          <w:color w:val="1A1A2E"/>
          <w:sz w:val="19"/>
          <w:szCs w:val="19"/>
        </w:rPr>
        <w:t xml:space="preserve">The HQCDP framework includes a set of Canvas-ready templates that faculty receive as part of the cohort onboarding package:</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HQCDP Canvas Master Course Shell — pre-built 8-module structure with placeholder content, naming conventions, and all rubrics loaded</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Module Page Template — consistent IC page layout: Learning Objectives header | Content Area | Knowledge Check | Transition to LA</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Discussion Board Template — prompt structure with scaffolding questions, peer response requirement, and pre-attached rubric</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Assignment Template — portfolio piece instructions with scaffolding prompts, word count guidance, and pre-attached rubric</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Quiz Template — question naming convention, attempt settings (2 attempts, no time limit for LAs; 1 attempt, timed for exams), feedback settings</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Module Overview Page Template — Essential Questions, MLOs with CLO links, student checklist, estimated time</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Syllabus Template — HQCDP-aligned with QM-required elements: CLOs, grading, technology, accessibility, RSI statement</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Announcement Template Set — 8 weekly module-opening announcements with structural prompts for faculty to customize content</w:t>
      </w:r>
    </w:p>
    <w:p>
      <w:r>
        <w:br w:type="page"/>
      </w:r>
    </w:p>
    <w:p>
      <w:pPr>
        <w:shd w:fill="7A5C1B" w:val="clear"/>
        <w:spacing w:before="160" w:after="70"/>
      </w:pPr>
      <w:r>
        <w:rPr>
          <w:rFonts w:ascii="Calibri" w:cs="Calibri" w:eastAsia="Calibri" w:hAnsi="Calibri"/>
          <w:b/>
          <w:bCs/>
          <w:color w:val="FFFFFF"/>
          <w:sz w:val="21"/>
          <w:szCs w:val="21"/>
        </w:rPr>
        <w:t xml:space="preserve">  SECTION 7  |  Training Faculty via a Canvas Course  |  HQCDP Online</w:t>
      </w:r>
    </w:p>
    <w:p>
      <w:pPr>
        <w:spacing w:before="40" w:after="40"/>
        <w:jc w:val="left"/>
      </w:pPr>
      <w:r>
        <w:rPr>
          <w:rFonts w:ascii="Calibri" w:cs="Calibri" w:eastAsia="Calibri" w:hAnsi="Calibri"/>
          <w:b w:val="false"/>
          <w:bCs w:val="false"/>
          <w:color w:val="1A1A2E"/>
          <w:sz w:val="19"/>
          <w:szCs w:val="19"/>
        </w:rPr>
        <w:t xml:space="preserve">The best way to train faculty in quality online course design is to put them through a quality online course. The HQCDP Faculty Development Canvas Course uses the same framework faculty will build — making the training itself the model.</w:t>
      </w:r>
    </w:p>
    <w:p>
      <w:pPr>
        <w:spacing w:before="20" w:after="10"/>
        <w:jc w:val="left"/>
      </w:pPr>
      <w:r>
        <w:rPr>
          <w:rFonts w:ascii="Calibri" w:cs="Calibri" w:eastAsia="Calibri" w:hAnsi="Calibri"/>
          <w:b w:val="false"/>
          <w:bCs w:val="false"/>
          <w:color w:val="1A1A2E"/>
          <w:sz w:val="20"/>
          <w:szCs w:val="20"/>
        </w:rPr>
        <w:t xml:space="preserve"/>
      </w:r>
    </w:p>
    <w:p>
      <w:pPr>
        <w:pBdr>
          <w:bottom w:val="single" w:color="7A5C1B" w:sz="6"/>
        </w:pBdr>
        <w:spacing w:before="120" w:after="50"/>
      </w:pPr>
      <w:r>
        <w:rPr>
          <w:rFonts w:ascii="Calibri" w:cs="Calibri" w:eastAsia="Calibri" w:hAnsi="Calibri"/>
          <w:b/>
          <w:bCs/>
          <w:color w:val="7A5C1B"/>
          <w:sz w:val="21"/>
          <w:szCs w:val="21"/>
        </w:rPr>
        <w:t xml:space="preserve">HQCDP Faculty Development Course: Module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1800"/>
        <w:gridCol w:w="2500"/>
        <w:gridCol w:w="4360"/>
      </w:tblGrid>
      <w:tr>
        <w:tc>
          <w:tcPr>
            <w:tcW w:type="dxa" w:w="700"/>
            <w:gridSpan w:val="1"/>
            <w:tcBorders>
              <w:top w:val="single" w:color="DDE3EB" w:sz="4"/>
              <w:left w:val="single" w:color="DDE3EB" w:sz="4"/>
              <w:bottom w:val="single" w:color="DDE3EB" w:sz="4"/>
              <w:right w:val="single" w:color="DDE3EB" w:sz="4"/>
            </w:tcBorders>
            <w:shd w:fill="7A5C1B"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Mod</w:t>
            </w:r>
          </w:p>
        </w:tc>
        <w:tc>
          <w:tcPr>
            <w:tcW w:type="dxa" w:w="1800"/>
            <w:gridSpan w:val="1"/>
            <w:tcBorders>
              <w:top w:val="single" w:color="DDE3EB" w:sz="4"/>
              <w:left w:val="single" w:color="DDE3EB" w:sz="4"/>
              <w:bottom w:val="single" w:color="DDE3EB" w:sz="4"/>
              <w:right w:val="single" w:color="DDE3EB" w:sz="4"/>
            </w:tcBorders>
            <w:shd w:fill="7A5C1B"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Title</w:t>
            </w:r>
          </w:p>
        </w:tc>
        <w:tc>
          <w:tcPr>
            <w:tcW w:type="dxa" w:w="2500"/>
            <w:gridSpan w:val="1"/>
            <w:tcBorders>
              <w:top w:val="single" w:color="DDE3EB" w:sz="4"/>
              <w:left w:val="single" w:color="DDE3EB" w:sz="4"/>
              <w:bottom w:val="single" w:color="DDE3EB" w:sz="4"/>
              <w:right w:val="single" w:color="DDE3EB" w:sz="4"/>
            </w:tcBorders>
            <w:shd w:fill="7A5C1B"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Faculty Deliverable</w:t>
            </w:r>
          </w:p>
        </w:tc>
        <w:tc>
          <w:tcPr>
            <w:tcW w:type="dxa" w:w="4360"/>
            <w:gridSpan w:val="1"/>
            <w:tcBorders>
              <w:top w:val="single" w:color="DDE3EB" w:sz="4"/>
              <w:left w:val="single" w:color="DDE3EB" w:sz="4"/>
              <w:bottom w:val="single" w:color="DDE3EB" w:sz="4"/>
              <w:right w:val="single" w:color="DDE3EB" w:sz="4"/>
            </w:tcBorders>
            <w:shd w:fill="7A5C1B"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Content Covered</w:t>
            </w:r>
          </w:p>
        </w:tc>
      </w:tr>
      <w:tr>
        <w:tc>
          <w:tcPr>
            <w:tcW w:type="dxa" w:w="700"/>
            <w:gridSpan w:val="1"/>
            <w:tcBorders>
              <w:top w:val="single" w:color="DDE3EB" w:sz="4"/>
              <w:left w:val="single" w:color="DDE3EB" w:sz="4"/>
              <w:bottom w:val="single" w:color="DDE3EB" w:sz="4"/>
              <w:right w:val="single" w:color="DDE3EB" w:sz="4"/>
            </w:tcBorders>
            <w:shd w:fill="7A5C1B" w:val="clear"/>
            <w:tcMar>
              <w:top w:type="dxa" w:w="100"/>
              <w:left w:type="dxa" w:w="140"/>
              <w:bottom w:type="dxa" w:w="100"/>
              <w:right w:type="dxa" w:w="140"/>
            </w:tcMar>
            <w:vAlign w:val="top"/>
          </w:tcPr>
          <w:p>
            <w:pPr>
              <w:spacing w:before="0" w:after="0"/>
              <w:jc w:val="center"/>
            </w:pPr>
            <w:r>
              <w:rPr>
                <w:rFonts w:ascii="Calibri" w:cs="Calibri" w:eastAsia="Calibri" w:hAnsi="Calibri"/>
                <w:b/>
                <w:bCs/>
                <w:color w:val="FFFFFF"/>
                <w:sz w:val="20"/>
                <w:szCs w:val="20"/>
              </w:rPr>
              <w:t xml:space="preserve">1</w:t>
            </w:r>
          </w:p>
        </w:tc>
        <w:tc>
          <w:tcPr>
            <w:tcW w:type="dxa" w:w="18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What Is Quality Course Design?</w:t>
            </w:r>
          </w:p>
        </w:tc>
        <w:tc>
          <w:tcPr>
            <w:tcW w:type="dxa" w:w="25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B6CA8"/>
                <w:sz w:val="17"/>
                <w:szCs w:val="17"/>
              </w:rPr>
              <w:t xml:space="preserve">Self-assessment: current course audit</w:t>
            </w:r>
          </w:p>
        </w:tc>
        <w:tc>
          <w:tcPr>
            <w:tcW w:type="dxa" w:w="43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QM framework overview; four-phase model introduction; CLO writing; Bloom's Taxonomy applied to your discipline</w:t>
            </w:r>
          </w:p>
        </w:tc>
      </w:tr>
      <w:tr>
        <w:tc>
          <w:tcPr>
            <w:tcW w:type="dxa" w:w="700"/>
            <w:gridSpan w:val="1"/>
            <w:tcBorders>
              <w:top w:val="single" w:color="DDE3EB" w:sz="4"/>
              <w:left w:val="single" w:color="DDE3EB" w:sz="4"/>
              <w:bottom w:val="single" w:color="DDE3EB" w:sz="4"/>
              <w:right w:val="single" w:color="DDE3EB" w:sz="4"/>
            </w:tcBorders>
            <w:shd w:fill="7A5C1B" w:val="clear"/>
            <w:tcMar>
              <w:top w:type="dxa" w:w="100"/>
              <w:left w:type="dxa" w:w="140"/>
              <w:bottom w:type="dxa" w:w="100"/>
              <w:right w:type="dxa" w:w="140"/>
            </w:tcMar>
            <w:vAlign w:val="top"/>
          </w:tcPr>
          <w:p>
            <w:pPr>
              <w:spacing w:before="0" w:after="0"/>
              <w:jc w:val="center"/>
            </w:pPr>
            <w:r>
              <w:rPr>
                <w:rFonts w:ascii="Calibri" w:cs="Calibri" w:eastAsia="Calibri" w:hAnsi="Calibri"/>
                <w:b/>
                <w:bCs/>
                <w:color w:val="FFFFFF"/>
                <w:sz w:val="20"/>
                <w:szCs w:val="20"/>
              </w:rPr>
              <w:t xml:space="preserve">2</w:t>
            </w:r>
          </w:p>
        </w:tc>
        <w:tc>
          <w:tcPr>
            <w:tcW w:type="dxa" w:w="18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Backward Design &amp; CLOs</w:t>
            </w:r>
          </w:p>
        </w:tc>
        <w:tc>
          <w:tcPr>
            <w:tcW w:type="dxa" w:w="25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B6CA8"/>
                <w:sz w:val="17"/>
                <w:szCs w:val="17"/>
              </w:rPr>
              <w:t xml:space="preserve">Draft 4 CLOs for your target course</w:t>
            </w:r>
          </w:p>
        </w:tc>
        <w:tc>
          <w:tcPr>
            <w:tcW w:type="dxa" w:w="43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Backward design process; writing measurable objectives; CLO → MLO → Activity alignment; NCCCS compliance</w:t>
            </w:r>
          </w:p>
        </w:tc>
      </w:tr>
      <w:tr>
        <w:tc>
          <w:tcPr>
            <w:tcW w:type="dxa" w:w="700"/>
            <w:gridSpan w:val="1"/>
            <w:tcBorders>
              <w:top w:val="single" w:color="DDE3EB" w:sz="4"/>
              <w:left w:val="single" w:color="DDE3EB" w:sz="4"/>
              <w:bottom w:val="single" w:color="DDE3EB" w:sz="4"/>
              <w:right w:val="single" w:color="DDE3EB" w:sz="4"/>
            </w:tcBorders>
            <w:shd w:fill="7A5C1B" w:val="clear"/>
            <w:tcMar>
              <w:top w:type="dxa" w:w="100"/>
              <w:left w:type="dxa" w:w="140"/>
              <w:bottom w:type="dxa" w:w="100"/>
              <w:right w:type="dxa" w:w="140"/>
            </w:tcMar>
            <w:vAlign w:val="top"/>
          </w:tcPr>
          <w:p>
            <w:pPr>
              <w:spacing w:before="0" w:after="0"/>
              <w:jc w:val="center"/>
            </w:pPr>
            <w:r>
              <w:rPr>
                <w:rFonts w:ascii="Calibri" w:cs="Calibri" w:eastAsia="Calibri" w:hAnsi="Calibri"/>
                <w:b/>
                <w:bCs/>
                <w:color w:val="FFFFFF"/>
                <w:sz w:val="20"/>
                <w:szCs w:val="20"/>
              </w:rPr>
              <w:t xml:space="preserve">3</w:t>
            </w:r>
          </w:p>
        </w:tc>
        <w:tc>
          <w:tcPr>
            <w:tcW w:type="dxa" w:w="18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The Learn Phase</w:t>
            </w:r>
          </w:p>
        </w:tc>
        <w:tc>
          <w:tcPr>
            <w:tcW w:type="dxa" w:w="25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B6CA8"/>
                <w:sz w:val="17"/>
                <w:szCs w:val="17"/>
              </w:rPr>
              <w:t xml:space="preserve">IC inventory for Modules 1-4</w:t>
            </w:r>
          </w:p>
        </w:tc>
        <w:tc>
          <w:tcPr>
            <w:tcW w:type="dxa" w:w="43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Identifying OER; evaluating third-party materials; building Canvas Pages; accessibility basics; knowledge check design</w:t>
            </w:r>
          </w:p>
        </w:tc>
      </w:tr>
      <w:tr>
        <w:tc>
          <w:tcPr>
            <w:tcW w:type="dxa" w:w="700"/>
            <w:gridSpan w:val="1"/>
            <w:tcBorders>
              <w:top w:val="single" w:color="DDE3EB" w:sz="4"/>
              <w:left w:val="single" w:color="DDE3EB" w:sz="4"/>
              <w:bottom w:val="single" w:color="DDE3EB" w:sz="4"/>
              <w:right w:val="single" w:color="DDE3EB" w:sz="4"/>
            </w:tcBorders>
            <w:shd w:fill="7A5C1B" w:val="clear"/>
            <w:tcMar>
              <w:top w:type="dxa" w:w="100"/>
              <w:left w:type="dxa" w:w="140"/>
              <w:bottom w:type="dxa" w:w="100"/>
              <w:right w:type="dxa" w:w="140"/>
            </w:tcMar>
            <w:vAlign w:val="top"/>
          </w:tcPr>
          <w:p>
            <w:pPr>
              <w:spacing w:before="0" w:after="0"/>
              <w:jc w:val="center"/>
            </w:pPr>
            <w:r>
              <w:rPr>
                <w:rFonts w:ascii="Calibri" w:cs="Calibri" w:eastAsia="Calibri" w:hAnsi="Calibri"/>
                <w:b/>
                <w:bCs/>
                <w:color w:val="FFFFFF"/>
                <w:sz w:val="20"/>
                <w:szCs w:val="20"/>
              </w:rPr>
              <w:t xml:space="preserve">4</w:t>
            </w:r>
          </w:p>
        </w:tc>
        <w:tc>
          <w:tcPr>
            <w:tcW w:type="dxa" w:w="18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The Practice Phase</w:t>
            </w:r>
          </w:p>
        </w:tc>
        <w:tc>
          <w:tcPr>
            <w:tcW w:type="dxa" w:w="25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B6CA8"/>
                <w:sz w:val="17"/>
                <w:szCs w:val="17"/>
              </w:rPr>
              <w:t xml:space="preserve">Build LA1 &amp; LA2 for 2 modules</w:t>
            </w:r>
          </w:p>
        </w:tc>
        <w:tc>
          <w:tcPr>
            <w:tcW w:type="dxa" w:w="43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Canvas Quiz builder; auto-grading settings; multiple attempts; question bank development; feedback writing</w:t>
            </w:r>
          </w:p>
        </w:tc>
      </w:tr>
      <w:tr>
        <w:tc>
          <w:tcPr>
            <w:tcW w:type="dxa" w:w="700"/>
            <w:gridSpan w:val="1"/>
            <w:tcBorders>
              <w:top w:val="single" w:color="DDE3EB" w:sz="4"/>
              <w:left w:val="single" w:color="DDE3EB" w:sz="4"/>
              <w:bottom w:val="single" w:color="DDE3EB" w:sz="4"/>
              <w:right w:val="single" w:color="DDE3EB" w:sz="4"/>
            </w:tcBorders>
            <w:shd w:fill="7A5C1B" w:val="clear"/>
            <w:tcMar>
              <w:top w:type="dxa" w:w="100"/>
              <w:left w:type="dxa" w:w="140"/>
              <w:bottom w:type="dxa" w:w="100"/>
              <w:right w:type="dxa" w:w="140"/>
            </w:tcMar>
            <w:vAlign w:val="top"/>
          </w:tcPr>
          <w:p>
            <w:pPr>
              <w:spacing w:before="0" w:after="0"/>
              <w:jc w:val="center"/>
            </w:pPr>
            <w:r>
              <w:rPr>
                <w:rFonts w:ascii="Calibri" w:cs="Calibri" w:eastAsia="Calibri" w:hAnsi="Calibri"/>
                <w:b/>
                <w:bCs/>
                <w:color w:val="FFFFFF"/>
                <w:sz w:val="20"/>
                <w:szCs w:val="20"/>
              </w:rPr>
              <w:t xml:space="preserve">5</w:t>
            </w:r>
          </w:p>
        </w:tc>
        <w:tc>
          <w:tcPr>
            <w:tcW w:type="dxa" w:w="18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The Apply Phase</w:t>
            </w:r>
          </w:p>
        </w:tc>
        <w:tc>
          <w:tcPr>
            <w:tcW w:type="dxa" w:w="25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B6CA8"/>
                <w:sz w:val="17"/>
                <w:szCs w:val="17"/>
              </w:rPr>
              <w:t xml:space="preserve">Write 2 DB prompts + portfolio scaffolding</w:t>
            </w:r>
          </w:p>
        </w:tc>
        <w:tc>
          <w:tcPr>
            <w:tcW w:type="dxa" w:w="43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Discussion board design principles; higher-order prompt writing; portfolio scaffolding; rubric construction</w:t>
            </w:r>
          </w:p>
        </w:tc>
      </w:tr>
      <w:tr>
        <w:tc>
          <w:tcPr>
            <w:tcW w:type="dxa" w:w="700"/>
            <w:gridSpan w:val="1"/>
            <w:tcBorders>
              <w:top w:val="single" w:color="DDE3EB" w:sz="4"/>
              <w:left w:val="single" w:color="DDE3EB" w:sz="4"/>
              <w:bottom w:val="single" w:color="DDE3EB" w:sz="4"/>
              <w:right w:val="single" w:color="DDE3EB" w:sz="4"/>
            </w:tcBorders>
            <w:shd w:fill="7A5C1B" w:val="clear"/>
            <w:tcMar>
              <w:top w:type="dxa" w:w="100"/>
              <w:left w:type="dxa" w:w="140"/>
              <w:bottom w:type="dxa" w:w="100"/>
              <w:right w:type="dxa" w:w="140"/>
            </w:tcMar>
            <w:vAlign w:val="top"/>
          </w:tcPr>
          <w:p>
            <w:pPr>
              <w:spacing w:before="0" w:after="0"/>
              <w:jc w:val="center"/>
            </w:pPr>
            <w:r>
              <w:rPr>
                <w:rFonts w:ascii="Calibri" w:cs="Calibri" w:eastAsia="Calibri" w:hAnsi="Calibri"/>
                <w:b/>
                <w:bCs/>
                <w:color w:val="FFFFFF"/>
                <w:sz w:val="20"/>
                <w:szCs w:val="20"/>
              </w:rPr>
              <w:t xml:space="preserve">6</w:t>
            </w:r>
          </w:p>
        </w:tc>
        <w:tc>
          <w:tcPr>
            <w:tcW w:type="dxa" w:w="18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The Assess Phase</w:t>
            </w:r>
          </w:p>
        </w:tc>
        <w:tc>
          <w:tcPr>
            <w:tcW w:type="dxa" w:w="25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B6CA8"/>
                <w:sz w:val="17"/>
                <w:szCs w:val="17"/>
              </w:rPr>
              <w:t xml:space="preserve">Build your Module 1 quiz + rubric</w:t>
            </w:r>
          </w:p>
        </w:tc>
        <w:tc>
          <w:tcPr>
            <w:tcW w:type="dxa" w:w="43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Assessment alignment to CLOs; quiz design for different Bloom's levels; rubric calibration; grading equity</w:t>
            </w:r>
          </w:p>
        </w:tc>
      </w:tr>
      <w:tr>
        <w:tc>
          <w:tcPr>
            <w:tcW w:type="dxa" w:w="700"/>
            <w:gridSpan w:val="1"/>
            <w:tcBorders>
              <w:top w:val="single" w:color="DDE3EB" w:sz="4"/>
              <w:left w:val="single" w:color="DDE3EB" w:sz="4"/>
              <w:bottom w:val="single" w:color="DDE3EB" w:sz="4"/>
              <w:right w:val="single" w:color="DDE3EB" w:sz="4"/>
            </w:tcBorders>
            <w:shd w:fill="7A5C1B" w:val="clear"/>
            <w:tcMar>
              <w:top w:type="dxa" w:w="100"/>
              <w:left w:type="dxa" w:w="140"/>
              <w:bottom w:type="dxa" w:w="100"/>
              <w:right w:type="dxa" w:w="140"/>
            </w:tcMar>
            <w:vAlign w:val="top"/>
          </w:tcPr>
          <w:p>
            <w:pPr>
              <w:spacing w:before="0" w:after="0"/>
              <w:jc w:val="center"/>
            </w:pPr>
            <w:r>
              <w:rPr>
                <w:rFonts w:ascii="Calibri" w:cs="Calibri" w:eastAsia="Calibri" w:hAnsi="Calibri"/>
                <w:b/>
                <w:bCs/>
                <w:color w:val="FFFFFF"/>
                <w:sz w:val="20"/>
                <w:szCs w:val="20"/>
              </w:rPr>
              <w:t xml:space="preserve">7</w:t>
            </w:r>
          </w:p>
        </w:tc>
        <w:tc>
          <w:tcPr>
            <w:tcW w:type="dxa" w:w="18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RSI &amp; Teaching Presence</w:t>
            </w:r>
          </w:p>
        </w:tc>
        <w:tc>
          <w:tcPr>
            <w:tcW w:type="dxa" w:w="25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B6CA8"/>
                <w:sz w:val="17"/>
                <w:szCs w:val="17"/>
              </w:rPr>
              <w:t xml:space="preserve">Annotated Teaching Plan (Modules 1-4)</w:t>
            </w:r>
          </w:p>
        </w:tc>
        <w:tc>
          <w:tcPr>
            <w:tcW w:type="dxa" w:w="43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RSI documentation; announcement scheduling; feedback strategies; 34 CFR § 600.2 compliance made practical</w:t>
            </w:r>
          </w:p>
        </w:tc>
      </w:tr>
      <w:tr>
        <w:tc>
          <w:tcPr>
            <w:tcW w:type="dxa" w:w="700"/>
            <w:gridSpan w:val="1"/>
            <w:tcBorders>
              <w:top w:val="single" w:color="DDE3EB" w:sz="4"/>
              <w:left w:val="single" w:color="DDE3EB" w:sz="4"/>
              <w:bottom w:val="single" w:color="DDE3EB" w:sz="4"/>
              <w:right w:val="single" w:color="DDE3EB" w:sz="4"/>
            </w:tcBorders>
            <w:shd w:fill="7A5C1B" w:val="clear"/>
            <w:tcMar>
              <w:top w:type="dxa" w:w="100"/>
              <w:left w:type="dxa" w:w="140"/>
              <w:bottom w:type="dxa" w:w="100"/>
              <w:right w:type="dxa" w:w="140"/>
            </w:tcMar>
            <w:vAlign w:val="top"/>
          </w:tcPr>
          <w:p>
            <w:pPr>
              <w:spacing w:before="0" w:after="0"/>
              <w:jc w:val="center"/>
            </w:pPr>
            <w:r>
              <w:rPr>
                <w:rFonts w:ascii="Calibri" w:cs="Calibri" w:eastAsia="Calibri" w:hAnsi="Calibri"/>
                <w:b/>
                <w:bCs/>
                <w:color w:val="FFFFFF"/>
                <w:sz w:val="20"/>
                <w:szCs w:val="20"/>
              </w:rPr>
              <w:t xml:space="preserve">8</w:t>
            </w:r>
          </w:p>
        </w:tc>
        <w:tc>
          <w:tcPr>
            <w:tcW w:type="dxa" w:w="18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Canvas Organization &amp; Launch</w:t>
            </w:r>
          </w:p>
        </w:tc>
        <w:tc>
          <w:tcPr>
            <w:tcW w:type="dxa" w:w="25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B6CA8"/>
                <w:sz w:val="17"/>
                <w:szCs w:val="17"/>
              </w:rPr>
              <w:t xml:space="preserve">Complete Canvas Shell ready for review</w:t>
            </w:r>
          </w:p>
        </w:tc>
        <w:tc>
          <w:tcPr>
            <w:tcW w:type="dxa" w:w="43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Module sequencing; naming conventions; student view testing; gradebook setup; accessibility review; HQCDP submission</w:t>
            </w:r>
          </w:p>
        </w:tc>
      </w:tr>
    </w:tbl>
    <w:p>
      <w:pPr>
        <w:spacing w:before="60" w:after="20"/>
        <w:jc w:val="left"/>
      </w:pPr>
      <w:r>
        <w:rPr>
          <w:rFonts w:ascii="Calibri" w:cs="Calibri" w:eastAsia="Calibri" w:hAnsi="Calibri"/>
          <w:b w:val="false"/>
          <w:bCs w:val="false"/>
          <w:color w:val="1A1A2E"/>
          <w:sz w:val="20"/>
          <w:szCs w:val="20"/>
        </w:rPr>
        <w:t xml:space="preserve"/>
      </w:r>
    </w:p>
    <w:p>
      <w:pPr>
        <w:spacing w:before="40" w:after="40"/>
        <w:jc w:val="left"/>
      </w:pPr>
      <w:r>
        <w:rPr>
          <w:rFonts w:ascii="Calibri" w:cs="Calibri" w:eastAsia="Calibri" w:hAnsi="Calibri"/>
          <w:b/>
          <w:bCs/>
          <w:color w:val="1A3A5C"/>
          <w:sz w:val="19"/>
          <w:szCs w:val="19"/>
        </w:rPr>
        <w:t xml:space="preserve">Why a Canvas course for faculty training works: </w:t>
      </w:r>
      <w:r>
        <w:rPr>
          <w:rFonts w:ascii="Calibri" w:cs="Calibri" w:eastAsia="Calibri" w:hAnsi="Calibri"/>
          <w:b w:val="false"/>
          <w:bCs w:val="false"/>
          <w:color w:val="1A1A2E"/>
          <w:sz w:val="19"/>
          <w:szCs w:val="19"/>
        </w:rPr>
        <w:t xml:space="preserve">Faculty experience the student journey firsthand. They encounter the four-phase cycle from the learner's perspective. They build their own course while taking the training course — by Module 8, they graduate with a nearly complete Canvas course ready for peer review. The training IS the product.</w:t>
      </w:r>
    </w:p>
    <w:p>
      <w:r>
        <w:br w:type="page"/>
      </w:r>
    </w:p>
    <w:p>
      <w:pPr>
        <w:shd w:fill="1A3A5C" w:val="clear"/>
        <w:spacing w:before="160" w:after="70"/>
      </w:pPr>
      <w:r>
        <w:rPr>
          <w:rFonts w:ascii="Calibri" w:cs="Calibri" w:eastAsia="Calibri" w:hAnsi="Calibri"/>
          <w:b/>
          <w:bCs/>
          <w:color w:val="FFFFFF"/>
          <w:sz w:val="21"/>
          <w:szCs w:val="21"/>
        </w:rPr>
        <w:t xml:space="preserve">  SECTION 8  |  Cohort Rollout Model  |  Summer → Fall → Spring</w:t>
      </w:r>
    </w:p>
    <w:p>
      <w:pPr>
        <w:spacing w:before="40" w:after="40"/>
        <w:jc w:val="left"/>
      </w:pPr>
      <w:r>
        <w:rPr>
          <w:rFonts w:ascii="Calibri" w:cs="Calibri" w:eastAsia="Calibri" w:hAnsi="Calibri"/>
          <w:b w:val="false"/>
          <w:bCs w:val="false"/>
          <w:color w:val="1A1A2E"/>
          <w:sz w:val="19"/>
          <w:szCs w:val="19"/>
        </w:rPr>
        <w:t xml:space="preserve">A cohort model distributes faculty development across three semesters, building momentum while maintaining quality standards. Each cohort produces certified courses that become proof-of-concept for the next.</w:t>
      </w:r>
    </w:p>
    <w:p>
      <w:pPr>
        <w:spacing w:before="20" w:after="10"/>
        <w:jc w:val="left"/>
      </w:pPr>
      <w:r>
        <w:rPr>
          <w:rFonts w:ascii="Calibri" w:cs="Calibri" w:eastAsia="Calibri" w:hAnsi="Calibri"/>
          <w:b w:val="false"/>
          <w:bCs w:val="false"/>
          <w:color w:val="1A1A2E"/>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200"/>
        <w:gridCol w:w="2560"/>
        <w:gridCol w:w="4200"/>
      </w:tblGrid>
      <w:tr>
        <w:tc>
          <w:tcPr>
            <w:tcW w:type="dxa" w:w="14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Phase</w:t>
            </w:r>
          </w:p>
        </w:tc>
        <w:tc>
          <w:tcPr>
            <w:tcW w:type="dxa" w:w="12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When</w:t>
            </w:r>
          </w:p>
        </w:tc>
        <w:tc>
          <w:tcPr>
            <w:tcW w:type="dxa" w:w="256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Target</w:t>
            </w:r>
          </w:p>
        </w:tc>
        <w:tc>
          <w:tcPr>
            <w:tcW w:type="dxa" w:w="42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Activities &amp; Deliverables</w:t>
            </w:r>
          </w:p>
        </w:tc>
      </w:tr>
      <w:tr>
        <w:tc>
          <w:tcPr>
            <w:tcW w:type="dxa" w:w="14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top"/>
          </w:tcPr>
          <w:p>
            <w:pPr>
              <w:spacing w:before="0" w:after="0"/>
              <w:jc w:val="left"/>
            </w:pPr>
            <w:r>
              <w:rPr>
                <w:rFonts w:ascii="Calibri" w:cs="Calibri" w:eastAsia="Calibri" w:hAnsi="Calibri"/>
                <w:b/>
                <w:bCs/>
                <w:color w:val="FFFFFF"/>
                <w:sz w:val="17"/>
                <w:szCs w:val="17"/>
              </w:rPr>
              <w:t xml:space="preserve">PILOT
Cohort 0</w:t>
            </w:r>
          </w:p>
        </w:tc>
        <w:tc>
          <w:tcPr>
            <w:tcW w:type="dxa" w:w="12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Spring 2026
(NOW)</w:t>
            </w:r>
          </w:p>
        </w:tc>
        <w:tc>
          <w:tcPr>
            <w:tcW w:type="dxa" w:w="256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2-3 exemplar courses
(HIS-131, HIS-132 + 1)</w:t>
            </w:r>
          </w:p>
        </w:tc>
        <w:tc>
          <w:tcPr>
            <w:tcW w:type="dxa" w:w="42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Framework validated. Documentation completed. Master Shell built. Course templates finalized. Pilot faculty serve as peer mentors for Cohort 1.</w:t>
            </w:r>
          </w:p>
        </w:tc>
      </w:tr>
      <w:tr>
        <w:tc>
          <w:tcPr>
            <w:tcW w:type="dxa" w:w="14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top"/>
          </w:tcPr>
          <w:p>
            <w:pPr>
              <w:spacing w:before="0" w:after="0"/>
              <w:jc w:val="left"/>
            </w:pPr>
            <w:r>
              <w:rPr>
                <w:rFonts w:ascii="Calibri" w:cs="Calibri" w:eastAsia="Calibri" w:hAnsi="Calibri"/>
                <w:b/>
                <w:bCs/>
                <w:color w:val="FFFFFF"/>
                <w:sz w:val="17"/>
                <w:szCs w:val="17"/>
              </w:rPr>
              <w:t xml:space="preserve">COHORT 1
(Summer)</w:t>
            </w:r>
          </w:p>
        </w:tc>
        <w:tc>
          <w:tcPr>
            <w:tcW w:type="dxa" w:w="12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Summer 2026
June-July</w:t>
            </w:r>
          </w:p>
        </w:tc>
        <w:tc>
          <w:tcPr>
            <w:tcW w:type="dxa" w:w="256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6-8 faculty volunteers
(mixed disciplines)</w:t>
            </w:r>
          </w:p>
        </w:tc>
        <w:tc>
          <w:tcPr>
            <w:tcW w:type="dxa" w:w="42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10-week HQCDP Faculty Development Canvas Course. Weekly 1:1 coaching (30 min/faculty). Deliverable: completed Canvas course, ready for fall launch. PD hours documented.</w:t>
            </w:r>
          </w:p>
        </w:tc>
      </w:tr>
      <w:tr>
        <w:tc>
          <w:tcPr>
            <w:tcW w:type="dxa" w:w="14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top"/>
          </w:tcPr>
          <w:p>
            <w:pPr>
              <w:spacing w:before="0" w:after="0"/>
              <w:jc w:val="left"/>
            </w:pPr>
            <w:r>
              <w:rPr>
                <w:rFonts w:ascii="Calibri" w:cs="Calibri" w:eastAsia="Calibri" w:hAnsi="Calibri"/>
                <w:b/>
                <w:bCs/>
                <w:color w:val="FFFFFF"/>
                <w:sz w:val="17"/>
                <w:szCs w:val="17"/>
              </w:rPr>
              <w:t xml:space="preserve">COHORT 1 LAUNCH</w:t>
            </w:r>
          </w:p>
        </w:tc>
        <w:tc>
          <w:tcPr>
            <w:tcW w:type="dxa" w:w="12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Fall 2026</w:t>
            </w:r>
          </w:p>
        </w:tc>
        <w:tc>
          <w:tcPr>
            <w:tcW w:type="dxa" w:w="256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6-8 courses live
in Canvas</w:t>
            </w:r>
          </w:p>
        </w:tc>
        <w:tc>
          <w:tcPr>
            <w:tcW w:type="dxa" w:w="42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Cohort 1 courses run live. Angela provides just-in-time support (weekly office hours). End-of-semester debrief. Student outcome data collected. QM review submissions begin.</w:t>
            </w:r>
          </w:p>
        </w:tc>
      </w:tr>
      <w:tr>
        <w:tc>
          <w:tcPr>
            <w:tcW w:type="dxa" w:w="14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top"/>
          </w:tcPr>
          <w:p>
            <w:pPr>
              <w:spacing w:before="0" w:after="0"/>
              <w:jc w:val="left"/>
            </w:pPr>
            <w:r>
              <w:rPr>
                <w:rFonts w:ascii="Calibri" w:cs="Calibri" w:eastAsia="Calibri" w:hAnsi="Calibri"/>
                <w:b/>
                <w:bCs/>
                <w:color w:val="FFFFFF"/>
                <w:sz w:val="17"/>
                <w:szCs w:val="17"/>
              </w:rPr>
              <w:t xml:space="preserve">COHORT 2
(Fall)</w:t>
            </w:r>
          </w:p>
        </w:tc>
        <w:tc>
          <w:tcPr>
            <w:tcW w:type="dxa" w:w="12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Fall 2026
(parallel)</w:t>
            </w:r>
          </w:p>
        </w:tc>
        <w:tc>
          <w:tcPr>
            <w:tcW w:type="dxa" w:w="256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10-12 faculty
(department-level recruiting)</w:t>
            </w:r>
          </w:p>
        </w:tc>
        <w:tc>
          <w:tcPr>
            <w:tcW w:type="dxa" w:w="42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HQCDP Canvas Course runs again with Cohort 1 graduates as peer mentors. Department chairs encouraged to identify 1-2 faculty per dept. Pilot faculty present at faculty meeting.</w:t>
            </w:r>
          </w:p>
        </w:tc>
      </w:tr>
      <w:tr>
        <w:tc>
          <w:tcPr>
            <w:tcW w:type="dxa" w:w="14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top"/>
          </w:tcPr>
          <w:p>
            <w:pPr>
              <w:spacing w:before="0" w:after="0"/>
              <w:jc w:val="left"/>
            </w:pPr>
            <w:r>
              <w:rPr>
                <w:rFonts w:ascii="Calibri" w:cs="Calibri" w:eastAsia="Calibri" w:hAnsi="Calibri"/>
                <w:b/>
                <w:bCs/>
                <w:color w:val="FFFFFF"/>
                <w:sz w:val="17"/>
                <w:szCs w:val="17"/>
              </w:rPr>
              <w:t xml:space="preserve">COHORT 2 LAUNCH</w:t>
            </w:r>
          </w:p>
        </w:tc>
        <w:tc>
          <w:tcPr>
            <w:tcW w:type="dxa" w:w="12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Spring 2027</w:t>
            </w:r>
          </w:p>
        </w:tc>
        <w:tc>
          <w:tcPr>
            <w:tcW w:type="dxa" w:w="256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10-12 courses live</w:t>
            </w:r>
          </w:p>
        </w:tc>
        <w:tc>
          <w:tcPr>
            <w:tcW w:type="dxa" w:w="42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Second wave. Momentum builds. Pattern: pilot → summer cohort → fall cohort → spring launch. Each cycle adds 8-12 certified courses.</w:t>
            </w:r>
          </w:p>
        </w:tc>
      </w:tr>
      <w:tr>
        <w:tc>
          <w:tcPr>
            <w:tcW w:type="dxa" w:w="14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top"/>
          </w:tcPr>
          <w:p>
            <w:pPr>
              <w:spacing w:before="0" w:after="0"/>
              <w:jc w:val="left"/>
            </w:pPr>
            <w:r>
              <w:rPr>
                <w:rFonts w:ascii="Calibri" w:cs="Calibri" w:eastAsia="Calibri" w:hAnsi="Calibri"/>
                <w:b/>
                <w:bCs/>
                <w:color w:val="FFFFFF"/>
                <w:sz w:val="17"/>
                <w:szCs w:val="17"/>
              </w:rPr>
              <w:t xml:space="preserve">PROGRAM SCALE</w:t>
            </w:r>
          </w:p>
        </w:tc>
        <w:tc>
          <w:tcPr>
            <w:tcW w:type="dxa" w:w="12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Spring 2027+</w:t>
            </w:r>
          </w:p>
        </w:tc>
        <w:tc>
          <w:tcPr>
            <w:tcW w:type="dxa" w:w="256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Institution-wide
availability</w:t>
            </w:r>
          </w:p>
        </w:tc>
        <w:tc>
          <w:tcPr>
            <w:tcW w:type="dxa" w:w="42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HQCDP becomes standard new-course development process. QM reviews integrated into annual course review cycle. Cohort model runs each summer/fall. Angela's role shifts from builder to program director.</w:t>
            </w:r>
          </w:p>
        </w:tc>
      </w:tr>
    </w:tbl>
    <w:p>
      <w:pPr>
        <w:spacing w:before="60" w:after="20"/>
        <w:jc w:val="left"/>
      </w:pPr>
      <w:r>
        <w:rPr>
          <w:rFonts w:ascii="Calibri" w:cs="Calibri" w:eastAsia="Calibri" w:hAnsi="Calibri"/>
          <w:b w:val="false"/>
          <w:bCs w:val="false"/>
          <w:color w:val="1A1A2E"/>
          <w:sz w:val="20"/>
          <w:szCs w:val="20"/>
        </w:rPr>
        <w:t xml:space="preserve"/>
      </w:r>
    </w:p>
    <w:p>
      <w:pPr>
        <w:pBdr>
          <w:bottom w:val="single" w:color="1B6CA8" w:sz="6"/>
        </w:pBdr>
        <w:spacing w:before="120" w:after="50"/>
      </w:pPr>
      <w:r>
        <w:rPr>
          <w:rFonts w:ascii="Calibri" w:cs="Calibri" w:eastAsia="Calibri" w:hAnsi="Calibri"/>
          <w:b/>
          <w:bCs/>
          <w:color w:val="1B6CA8"/>
          <w:sz w:val="21"/>
          <w:szCs w:val="21"/>
        </w:rPr>
        <w:t xml:space="preserve">Professional Development Integration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1600"/>
        <w:gridCol w:w="5160"/>
      </w:tblGrid>
      <w:tr>
        <w:tc>
          <w:tcPr>
            <w:tcW w:type="dxa" w:w="2600"/>
            <w:gridSpan w:val="1"/>
            <w:tcBorders>
              <w:top w:val="single" w:color="DDE3EB" w:sz="4"/>
              <w:left w:val="single" w:color="DDE3EB" w:sz="4"/>
              <w:bottom w:val="single" w:color="DDE3EB" w:sz="4"/>
              <w:right w:val="single" w:color="DDE3EB" w:sz="4"/>
            </w:tcBorders>
            <w:shd w:fill="1B6CA8"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PD Activity</w:t>
            </w:r>
          </w:p>
        </w:tc>
        <w:tc>
          <w:tcPr>
            <w:tcW w:type="dxa" w:w="1600"/>
            <w:gridSpan w:val="1"/>
            <w:tcBorders>
              <w:top w:val="single" w:color="DDE3EB" w:sz="4"/>
              <w:left w:val="single" w:color="DDE3EB" w:sz="4"/>
              <w:bottom w:val="single" w:color="DDE3EB" w:sz="4"/>
              <w:right w:val="single" w:color="DDE3EB" w:sz="4"/>
            </w:tcBorders>
            <w:shd w:fill="1B6CA8"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Documented Hours</w:t>
            </w:r>
          </w:p>
        </w:tc>
        <w:tc>
          <w:tcPr>
            <w:tcW w:type="dxa" w:w="5160"/>
            <w:gridSpan w:val="1"/>
            <w:tcBorders>
              <w:top w:val="single" w:color="DDE3EB" w:sz="4"/>
              <w:left w:val="single" w:color="DDE3EB" w:sz="4"/>
              <w:bottom w:val="single" w:color="DDE3EB" w:sz="4"/>
              <w:right w:val="single" w:color="DDE3EB" w:sz="4"/>
            </w:tcBorders>
            <w:shd w:fill="1B6CA8"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Outcome &amp; Recognition</w:t>
            </w:r>
          </w:p>
        </w:tc>
      </w:tr>
      <w:tr>
        <w:tc>
          <w:tcPr>
            <w:tcW w:type="dxa" w:w="2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HQCDP Canvas Course Completion</w:t>
            </w:r>
          </w:p>
        </w:tc>
        <w:tc>
          <w:tcPr>
            <w:tcW w:type="dxa" w:w="16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15 contact hrs</w:t>
            </w:r>
          </w:p>
        </w:tc>
        <w:tc>
          <w:tcPr>
            <w:tcW w:type="dxa" w:w="5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Certificate: HQCDP Trained Instructor  |  Faculty portfolio evidence  |  Eligible for cohort peer mentor role</w:t>
            </w:r>
          </w:p>
        </w:tc>
      </w:tr>
      <w:tr>
        <w:tc>
          <w:tcPr>
            <w:tcW w:type="dxa" w:w="2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1:1 ID Coaching Sessions</w:t>
            </w:r>
          </w:p>
        </w:tc>
        <w:tc>
          <w:tcPr>
            <w:tcW w:type="dxa" w:w="16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1 hr/week x semester</w:t>
            </w:r>
          </w:p>
        </w:tc>
        <w:tc>
          <w:tcPr>
            <w:tcW w:type="dxa" w:w="5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Documented in coaching log  |  Individualized feedback on course build  |  Counts toward annual PD requirement</w:t>
            </w:r>
          </w:p>
        </w:tc>
      </w:tr>
      <w:tr>
        <w:tc>
          <w:tcPr>
            <w:tcW w:type="dxa" w:w="2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HQCDP Certification Review</w:t>
            </w:r>
          </w:p>
        </w:tc>
        <w:tc>
          <w:tcPr>
            <w:tcW w:type="dxa" w:w="16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2-3 hrs (review meeting)</w:t>
            </w:r>
          </w:p>
        </w:tc>
        <w:tc>
          <w:tcPr>
            <w:tcW w:type="dxa" w:w="5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Certificate: HQCDP Certified Course  |  Eligible for QM Peer Reviewer training  |  Course listed in institutional course registry</w:t>
            </w:r>
          </w:p>
        </w:tc>
      </w:tr>
      <w:tr>
        <w:tc>
          <w:tcPr>
            <w:tcW w:type="dxa" w:w="2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QM Peer Reviewer Training (optional)</w:t>
            </w:r>
          </w:p>
        </w:tc>
        <w:tc>
          <w:tcPr>
            <w:tcW w:type="dxa" w:w="16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18 hrs (QM online workshop)</w:t>
            </w:r>
          </w:p>
        </w:tc>
        <w:tc>
          <w:tcPr>
            <w:tcW w:type="dxa" w:w="5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National QM credential  |  Eligible to review courses at other institutions  |  Stipend-eligible per QM policy</w:t>
            </w:r>
          </w:p>
        </w:tc>
      </w:tr>
      <w:tr>
        <w:tc>
          <w:tcPr>
            <w:tcW w:type="dxa" w:w="2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NCCADL Conference Presentation</w:t>
            </w:r>
          </w:p>
        </w:tc>
        <w:tc>
          <w:tcPr>
            <w:tcW w:type="dxa" w:w="16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4-6 hrs (prep + presentation)</w:t>
            </w:r>
          </w:p>
        </w:tc>
        <w:tc>
          <w:tcPr>
            <w:tcW w:type="dxa" w:w="5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Regional/state recognition  |  Aligns to FTCC strategic plan goals for innovation  |  Strengthens grant applications</w:t>
            </w:r>
          </w:p>
        </w:tc>
      </w:tr>
      <w:tr>
        <w:tc>
          <w:tcPr>
            <w:tcW w:type="dxa" w:w="2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1A2E"/>
                <w:sz w:val="17"/>
                <w:szCs w:val="17"/>
              </w:rPr>
              <w:t xml:space="preserve">Peer Mentoring (Cohort 2+)</w:t>
            </w:r>
          </w:p>
        </w:tc>
        <w:tc>
          <w:tcPr>
            <w:tcW w:type="dxa" w:w="1600"/>
            <w:gridSpan w:val="1"/>
            <w:tcBorders>
              <w:top w:val="single" w:color="DDE3EB" w:sz="4"/>
              <w:left w:val="single" w:color="DDE3EB" w:sz="4"/>
              <w:bottom w:val="single" w:color="DDE3EB" w:sz="4"/>
              <w:right w:val="single" w:color="DDE3EB" w:sz="4"/>
            </w:tcBorders>
            <w:shd w:fill="FDF5E0" w:val="clear"/>
            <w:tcMar>
              <w:top w:type="dxa" w:w="100"/>
              <w:left w:type="dxa" w:w="140"/>
              <w:bottom w:type="dxa" w:w="100"/>
              <w:right w:type="dxa" w:w="140"/>
            </w:tcMar>
            <w:vAlign w:val="top"/>
          </w:tcPr>
          <w:p>
            <w:pPr>
              <w:spacing w:before="0" w:after="0"/>
              <w:jc w:val="left"/>
            </w:pPr>
            <w:r>
              <w:rPr>
                <w:rFonts w:ascii="Calibri" w:cs="Calibri" w:eastAsia="Calibri" w:hAnsi="Calibri"/>
                <w:b/>
                <w:bCs/>
                <w:color w:val="7A5C1B"/>
                <w:sz w:val="17"/>
                <w:szCs w:val="17"/>
              </w:rPr>
              <w:t xml:space="preserve">2-3 hrs/week during cohort</w:t>
            </w:r>
          </w:p>
        </w:tc>
        <w:tc>
          <w:tcPr>
            <w:tcW w:type="dxa" w:w="51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Leadership PD hours  |  Mentorship documented for promotion portfolio  |  Institutional knowledge transfer</w:t>
            </w:r>
          </w:p>
        </w:tc>
      </w:tr>
    </w:tbl>
    <w:p>
      <w:r>
        <w:br w:type="page"/>
      </w:r>
    </w:p>
    <w:p>
      <w:pPr>
        <w:shd w:fill="1B5E2C" w:val="clear"/>
        <w:spacing w:before="160" w:after="70"/>
      </w:pPr>
      <w:r>
        <w:rPr>
          <w:rFonts w:ascii="Calibri" w:cs="Calibri" w:eastAsia="Calibri" w:hAnsi="Calibri"/>
          <w:b/>
          <w:bCs/>
          <w:color w:val="FFFFFF"/>
          <w:sz w:val="21"/>
          <w:szCs w:val="21"/>
        </w:rPr>
        <w:t xml:space="preserve">  SECTION 9  |  The Instructional Support Role  |  Integral, Not Incidental</w:t>
      </w:r>
    </w:p>
    <w:p>
      <w:pPr>
        <w:spacing w:before="40" w:after="40"/>
        <w:jc w:val="left"/>
      </w:pPr>
      <w:r>
        <w:rPr>
          <w:rFonts w:ascii="Calibri" w:cs="Calibri" w:eastAsia="Calibri" w:hAnsi="Calibri"/>
          <w:b w:val="false"/>
          <w:bCs w:val="false"/>
          <w:color w:val="1A1A2E"/>
          <w:sz w:val="19"/>
          <w:szCs w:val="19"/>
        </w:rPr>
        <w:t xml:space="preserve">The most important thing to understand about quality course design support is this: </w:t>
      </w:r>
      <w:r>
        <w:rPr>
          <w:rFonts w:ascii="Calibri" w:cs="Calibri" w:eastAsia="Calibri" w:hAnsi="Calibri"/>
          <w:b/>
          <w:bCs/>
          <w:color w:val="1A3A5C"/>
          <w:sz w:val="19"/>
          <w:szCs w:val="19"/>
        </w:rPr>
        <w:t xml:space="preserve">faculty are content experts. Instructional designers are learning architecture experts.</w:t>
      </w:r>
      <w:r>
        <w:rPr>
          <w:rFonts w:ascii="Calibri" w:cs="Calibri" w:eastAsia="Calibri" w:hAnsi="Calibri"/>
          <w:b w:val="false"/>
          <w:bCs w:val="false"/>
          <w:color w:val="1A1A2E"/>
          <w:sz w:val="19"/>
          <w:szCs w:val="19"/>
        </w:rPr>
        <w:t xml:space="preserve"> Both are essential. Neither is sufficient alone. The ID role exists not to do the work for faculty, but to make the work they already do more effective, more visible, and more replicable.</w:t>
      </w:r>
    </w:p>
    <w:p>
      <w:pPr>
        <w:spacing w:before="20" w:after="10"/>
        <w:jc w:val="left"/>
      </w:pPr>
      <w:r>
        <w:rPr>
          <w:rFonts w:ascii="Calibri" w:cs="Calibri" w:eastAsia="Calibri" w:hAnsi="Calibri"/>
          <w:b w:val="false"/>
          <w:bCs w:val="false"/>
          <w:color w:val="1A1A2E"/>
          <w:sz w:val="20"/>
          <w:szCs w:val="20"/>
        </w:rPr>
        <w:t xml:space="preserve"/>
      </w:r>
    </w:p>
    <w:p>
      <w:pPr>
        <w:pBdr>
          <w:bottom w:val="single" w:color="1B5E2C" w:sz="6"/>
        </w:pBdr>
        <w:spacing w:before="120" w:after="50"/>
      </w:pPr>
      <w:r>
        <w:rPr>
          <w:rFonts w:ascii="Calibri" w:cs="Calibri" w:eastAsia="Calibri" w:hAnsi="Calibri"/>
          <w:b/>
          <w:bCs/>
          <w:color w:val="1B5E2C"/>
          <w:sz w:val="21"/>
          <w:szCs w:val="21"/>
        </w:rPr>
        <w:t xml:space="preserve">What the Instructional Support Role Actually Does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gridSpan w:val="1"/>
            <w:tcBorders>
              <w:top w:val="single" w:color="DDE3EB" w:sz="4"/>
              <w:left w:val="single" w:color="DDE3EB" w:sz="4"/>
              <w:bottom w:val="single" w:color="DDE3EB" w:sz="4"/>
              <w:right w:val="single" w:color="DDE3EB" w:sz="4"/>
            </w:tcBorders>
            <w:shd w:fill="1B5E2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Function</w:t>
            </w:r>
          </w:p>
        </w:tc>
        <w:tc>
          <w:tcPr>
            <w:tcW w:type="dxa" w:w="3280"/>
            <w:gridSpan w:val="1"/>
            <w:tcBorders>
              <w:top w:val="single" w:color="DDE3EB" w:sz="4"/>
              <w:left w:val="single" w:color="DDE3EB" w:sz="4"/>
              <w:bottom w:val="single" w:color="DDE3EB" w:sz="4"/>
              <w:right w:val="single" w:color="DDE3EB" w:sz="4"/>
            </w:tcBorders>
            <w:shd w:fill="1B5E2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What This Means in Practice</w:t>
            </w:r>
          </w:p>
        </w:tc>
        <w:tc>
          <w:tcPr>
            <w:tcW w:type="dxa" w:w="3280"/>
            <w:gridSpan w:val="1"/>
            <w:tcBorders>
              <w:top w:val="single" w:color="DDE3EB" w:sz="4"/>
              <w:left w:val="single" w:color="DDE3EB" w:sz="4"/>
              <w:bottom w:val="single" w:color="DDE3EB" w:sz="4"/>
              <w:right w:val="single" w:color="DDE3EB" w:sz="4"/>
            </w:tcBorders>
            <w:shd w:fill="1B5E2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Why This Requires Expertise</w:t>
            </w:r>
          </w:p>
        </w:tc>
      </w:tr>
      <w:tr>
        <w:tc>
          <w:tcPr>
            <w:tcW w:type="dxa" w:w="28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Framework Architecture</w:t>
            </w:r>
          </w:p>
        </w:tc>
        <w:tc>
          <w:tcPr>
            <w:tcW w:type="dxa" w:w="32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Designed the four-phase model, eight-module structure, three-rubric system, and 49/51 grading balance</w:t>
            </w:r>
          </w:p>
        </w:tc>
        <w:tc>
          <w:tcPr>
            <w:tcW w:type="dxa" w:w="328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Requires knowledge of Bloom's Taxonomy, backward design, cognitive load theory, QM standards, and federal RSI requirements — simultaneously</w:t>
            </w:r>
          </w:p>
        </w:tc>
      </w:tr>
      <w:tr>
        <w:tc>
          <w:tcPr>
            <w:tcW w:type="dxa" w:w="28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Quality Standards Alignment</w:t>
            </w:r>
          </w:p>
        </w:tc>
        <w:tc>
          <w:tcPr>
            <w:tcW w:type="dxa" w:w="32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Mapped every course element to specific QM 7th Edition Essential Standards and documented the evidence</w:t>
            </w:r>
          </w:p>
        </w:tc>
        <w:tc>
          <w:tcPr>
            <w:tcW w:type="dxa" w:w="328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QM 7th Edition has 42 review standards; knowing which 22 are Essential and how to provide reviewable evidence requires QM certification</w:t>
            </w:r>
          </w:p>
        </w:tc>
      </w:tr>
      <w:tr>
        <w:tc>
          <w:tcPr>
            <w:tcW w:type="dxa" w:w="28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RSI Compliance Architecture</w:t>
            </w:r>
          </w:p>
        </w:tc>
        <w:tc>
          <w:tcPr>
            <w:tcW w:type="dxa" w:w="32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Designed teaching plan structure that makes RSI documentation automatic rather than retroactive</w:t>
            </w:r>
          </w:p>
        </w:tc>
        <w:tc>
          <w:tcPr>
            <w:tcW w:type="dxa" w:w="328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Understanding 34 CFR § 600.2 at a practical course-design level is specialized knowledge — most faculty are not aware of this requirement until accreditation reviews surface it</w:t>
            </w:r>
          </w:p>
        </w:tc>
      </w:tr>
      <w:tr>
        <w:tc>
          <w:tcPr>
            <w:tcW w:type="dxa" w:w="28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Assessment Design</w:t>
            </w:r>
          </w:p>
        </w:tc>
        <w:tc>
          <w:tcPr>
            <w:tcW w:type="dxa" w:w="32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Created three-rubric system that covers 1,680 points across 45 assessments with consistent alignment to CLOs</w:t>
            </w:r>
          </w:p>
        </w:tc>
        <w:tc>
          <w:tcPr>
            <w:tcW w:type="dxa" w:w="328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Rubric design that is simultaneously fair, measurable, QM-aligned, and faculty-sustainable requires assessment literacy that most content experts do not have as a primary training area</w:t>
            </w:r>
          </w:p>
        </w:tc>
      </w:tr>
      <w:tr>
        <w:tc>
          <w:tcPr>
            <w:tcW w:type="dxa" w:w="28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OER Curation &amp; Integration</w:t>
            </w:r>
          </w:p>
        </w:tc>
        <w:tc>
          <w:tcPr>
            <w:tcW w:type="dxa" w:w="32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Identified, evaluated, and integrated The American Yawp as a zero-cost alternative with equivalent or superior pedagogical value</w:t>
            </w:r>
          </w:p>
        </w:tc>
        <w:tc>
          <w:tcPr>
            <w:tcW w:type="dxa" w:w="328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Evaluating OER quality against institutional standards and commercial alternatives requires instructional materials expertise</w:t>
            </w:r>
          </w:p>
        </w:tc>
      </w:tr>
      <w:tr>
        <w:tc>
          <w:tcPr>
            <w:tcW w:type="dxa" w:w="28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Scalability Design</w:t>
            </w:r>
          </w:p>
        </w:tc>
        <w:tc>
          <w:tcPr>
            <w:tcW w:type="dxa" w:w="32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Built framework so that Course 2 takes 40% of the time of Course 1, and Course 3+ takes 25%</w:t>
            </w:r>
          </w:p>
        </w:tc>
        <w:tc>
          <w:tcPr>
            <w:tcW w:type="dxa" w:w="328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Designing for replication is a distinct skill set — it requires systems thinking, template architecture, and institutional knowledge of what slows faculty down</w:t>
            </w:r>
          </w:p>
        </w:tc>
      </w:tr>
      <w:tr>
        <w:tc>
          <w:tcPr>
            <w:tcW w:type="dxa" w:w="28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Data Documentation</w:t>
            </w:r>
          </w:p>
        </w:tc>
        <w:tc>
          <w:tcPr>
            <w:tcW w:type="dxa" w:w="32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Calculated, verified, and documented all point totals, QM standards, RSI touchpoints, and workload estimates</w:t>
            </w:r>
          </w:p>
        </w:tc>
        <w:tc>
          <w:tcPr>
            <w:tcW w:type="dxa" w:w="328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The 49/51 split, 22/22 QM standards, 48+ RSI touchpoints, and 1,680 point total are all verifiable claims — producing and defending them requires methodological rigor</w:t>
            </w:r>
          </w:p>
        </w:tc>
      </w:tr>
      <w:tr>
        <w:tc>
          <w:tcPr>
            <w:tcW w:type="dxa" w:w="2800"/>
            <w:gridSpan w:val="1"/>
            <w:tcBorders>
              <w:top w:val="single" w:color="DDE3EB" w:sz="4"/>
              <w:left w:val="single" w:color="DDE3EB" w:sz="4"/>
              <w:bottom w:val="single" w:color="DDE3EB" w:sz="4"/>
              <w:right w:val="single" w:color="DDE3EB" w:sz="4"/>
            </w:tcBorders>
            <w:shd w:fill="E8F5EC" w:val="clear"/>
            <w:tcMar>
              <w:top w:type="dxa" w:w="100"/>
              <w:left w:type="dxa" w:w="140"/>
              <w:bottom w:type="dxa" w:w="100"/>
              <w:right w:type="dxa" w:w="140"/>
            </w:tcMar>
            <w:vAlign w:val="top"/>
          </w:tcPr>
          <w:p>
            <w:pPr>
              <w:spacing w:before="0" w:after="0"/>
              <w:jc w:val="left"/>
            </w:pPr>
            <w:r>
              <w:rPr>
                <w:rFonts w:ascii="Calibri" w:cs="Calibri" w:eastAsia="Calibri" w:hAnsi="Calibri"/>
                <w:b/>
                <w:bCs/>
                <w:color w:val="1B5E2C"/>
                <w:sz w:val="17"/>
                <w:szCs w:val="17"/>
              </w:rPr>
              <w:t xml:space="preserve">Faculty Development Design</w:t>
            </w:r>
          </w:p>
        </w:tc>
        <w:tc>
          <w:tcPr>
            <w:tcW w:type="dxa" w:w="328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Designed the HQCDP Faculty Development Canvas Course using the same framework it teaches</w:t>
            </w:r>
          </w:p>
        </w:tc>
        <w:tc>
          <w:tcPr>
            <w:tcW w:type="dxa" w:w="328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Creating a training experience that models what it teaches is pedagogically sophisticated — it requires knowing both instructional design AND adult learning theory</w:t>
            </w:r>
          </w:p>
        </w:tc>
      </w:tr>
    </w:tbl>
    <w:p>
      <w:pPr>
        <w:spacing w:before="60" w:after="20"/>
        <w:jc w:val="left"/>
      </w:pPr>
      <w:r>
        <w:rPr>
          <w:rFonts w:ascii="Calibri" w:cs="Calibri" w:eastAsia="Calibri" w:hAnsi="Calibri"/>
          <w:b w:val="false"/>
          <w:bCs w:val="false"/>
          <w:color w:val="1A1A2E"/>
          <w:sz w:val="20"/>
          <w:szCs w:val="20"/>
        </w:rPr>
        <w:t xml:space="preserve"/>
      </w:r>
    </w:p>
    <w:p>
      <w:pPr>
        <w:spacing w:before="40" w:after="40"/>
        <w:jc w:val="left"/>
      </w:pPr>
      <w:r>
        <w:rPr>
          <w:rFonts w:ascii="Calibri" w:cs="Calibri" w:eastAsia="Calibri" w:hAnsi="Calibri"/>
          <w:b/>
          <w:bCs/>
          <w:color w:val="1A3A5C"/>
          <w:sz w:val="19"/>
          <w:szCs w:val="19"/>
        </w:rPr>
        <w:t xml:space="preserve">On positioning: </w:t>
      </w:r>
      <w:r>
        <w:rPr>
          <w:rFonts w:ascii="Calibri" w:cs="Calibri" w:eastAsia="Calibri" w:hAnsi="Calibri"/>
          <w:b w:val="false"/>
          <w:bCs w:val="false"/>
          <w:color w:val="1A1A2E"/>
          <w:sz w:val="19"/>
          <w:szCs w:val="19"/>
        </w:rPr>
        <w:t xml:space="preserve">The role of instructional support is most visible when it enables faculty to succeed — not when it takes credit for the success. The goal is to become the person that every faculty member who has ever struggled with an online course wishes they had access to. That reputation builds itself when the courses work, the faculty feel supported, and the students succeed. The documentation in this packet is not self-promotion — it is evidence that the process works and can be replicated.</w:t>
      </w:r>
    </w:p>
    <w:p>
      <w:r>
        <w:br w:type="page"/>
      </w:r>
    </w:p>
    <w:p>
      <w:pPr>
        <w:shd w:fill="1B6CA8" w:val="clear"/>
        <w:spacing w:before="160" w:after="70"/>
      </w:pPr>
      <w:r>
        <w:rPr>
          <w:rFonts w:ascii="Calibri" w:cs="Calibri" w:eastAsia="Calibri" w:hAnsi="Calibri"/>
          <w:b/>
          <w:bCs/>
          <w:color w:val="FFFFFF"/>
          <w:sz w:val="21"/>
          <w:szCs w:val="21"/>
        </w:rPr>
        <w:t xml:space="preserve">  SECTION 10  |  Tools Used &amp; Scalability Framework</w:t>
      </w:r>
    </w:p>
    <w:p>
      <w:pPr>
        <w:pBdr>
          <w:bottom w:val="single" w:color="1B6CA8" w:sz="6"/>
        </w:pBdr>
        <w:spacing w:before="120" w:after="50"/>
      </w:pPr>
      <w:r>
        <w:rPr>
          <w:rFonts w:ascii="Calibri" w:cs="Calibri" w:eastAsia="Calibri" w:hAnsi="Calibri"/>
          <w:b/>
          <w:bCs/>
          <w:color w:val="1B6CA8"/>
          <w:sz w:val="21"/>
          <w:szCs w:val="21"/>
        </w:rPr>
        <w:t xml:space="preserve">Tool Stack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5760"/>
      </w:tblGrid>
      <w:tr>
        <w:tc>
          <w:tcPr>
            <w:tcW w:type="dxa" w:w="20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Tool</w:t>
            </w:r>
          </w:p>
        </w:tc>
        <w:tc>
          <w:tcPr>
            <w:tcW w:type="dxa" w:w="160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Cost</w:t>
            </w:r>
          </w:p>
        </w:tc>
        <w:tc>
          <w:tcPr>
            <w:tcW w:type="dxa" w:w="5760"/>
            <w:gridSpan w:val="1"/>
            <w:tcBorders>
              <w:top w:val="single" w:color="DDE3EB" w:sz="4"/>
              <w:left w:val="single" w:color="DDE3EB" w:sz="4"/>
              <w:bottom w:val="single" w:color="DDE3EB" w:sz="4"/>
              <w:right w:val="single" w:color="DDE3EB" w:sz="4"/>
            </w:tcBorders>
            <w:shd w:fill="1A3A5C" w:val="clear"/>
            <w:tcMar>
              <w:top w:type="dxa" w:w="100"/>
              <w:left w:type="dxa" w:w="140"/>
              <w:bottom w:type="dxa" w:w="100"/>
              <w:right w:type="dxa" w:w="140"/>
            </w:tcMar>
            <w:vAlign w:val="center"/>
          </w:tcPr>
          <w:p>
            <w:pPr>
              <w:spacing w:before="0" w:after="0"/>
              <w:jc w:val="left"/>
            </w:pPr>
            <w:r>
              <w:rPr>
                <w:rFonts w:ascii="Calibri" w:cs="Calibri" w:eastAsia="Calibri" w:hAnsi="Calibri"/>
                <w:b/>
                <w:bCs/>
                <w:color w:val="FFFFFF"/>
                <w:sz w:val="18"/>
                <w:szCs w:val="18"/>
              </w:rPr>
              <w:t xml:space="preserve">Function in HQCDP</w:t>
            </w:r>
          </w:p>
        </w:tc>
      </w:tr>
      <w:tr>
        <w:tc>
          <w:tcPr>
            <w:tcW w:type="dxa" w:w="20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Canvas LMS</w:t>
            </w:r>
          </w:p>
        </w:tc>
        <w:tc>
          <w:tcPr>
            <w:tcW w:type="dxa" w:w="1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B5E2C"/>
                <w:sz w:val="17"/>
                <w:szCs w:val="17"/>
              </w:rPr>
              <w:t xml:space="preserve">Institutional license (FTCC)</w:t>
            </w:r>
          </w:p>
        </w:tc>
        <w:tc>
          <w:tcPr>
            <w:tcW w:type="dxa" w:w="5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Course architecture, content delivery, assessment, grading, RSI documentation, analytics</w:t>
            </w:r>
          </w:p>
        </w:tc>
      </w:tr>
      <w:tr>
        <w:tc>
          <w:tcPr>
            <w:tcW w:type="dxa" w:w="20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GitHub / GitHub Pages</w:t>
            </w:r>
          </w:p>
        </w:tc>
        <w:tc>
          <w:tcPr>
            <w:tcW w:type="dxa" w:w="16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B5E2C"/>
                <w:sz w:val="17"/>
                <w:szCs w:val="17"/>
              </w:rPr>
              <w:t xml:space="preserve">Free</w:t>
            </w:r>
          </w:p>
        </w:tc>
        <w:tc>
          <w:tcPr>
            <w:tcW w:type="dxa" w:w="5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Course dashboards, progress tracking, public-facing program documentation, QR code landing pages</w:t>
            </w:r>
          </w:p>
        </w:tc>
      </w:tr>
      <w:tr>
        <w:tc>
          <w:tcPr>
            <w:tcW w:type="dxa" w:w="20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The American Yawp</w:t>
            </w:r>
          </w:p>
        </w:tc>
        <w:tc>
          <w:tcPr>
            <w:tcW w:type="dxa" w:w="1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B5E2C"/>
                <w:sz w:val="17"/>
                <w:szCs w:val="17"/>
              </w:rPr>
              <w:t xml:space="preserve">$0 (OER)</w:t>
            </w:r>
          </w:p>
        </w:tc>
        <w:tc>
          <w:tcPr>
            <w:tcW w:type="dxa" w:w="5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Primary instructional text for HIS-131/132 — peer-reviewed, updated, free for all students</w:t>
            </w:r>
          </w:p>
        </w:tc>
      </w:tr>
      <w:tr>
        <w:tc>
          <w:tcPr>
            <w:tcW w:type="dxa" w:w="20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CourseForge Studio (custom)</w:t>
            </w:r>
          </w:p>
        </w:tc>
        <w:tc>
          <w:tcPr>
            <w:tcW w:type="dxa" w:w="16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B5E2C"/>
                <w:sz w:val="17"/>
                <w:szCs w:val="17"/>
              </w:rPr>
              <w:t xml:space="preserve">$0 (built in-house)</w:t>
            </w:r>
          </w:p>
        </w:tc>
        <w:tc>
          <w:tcPr>
            <w:tcW w:type="dxa" w:w="5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Suite of instructional design tools: lesson planner, rubric generator, workload calculator, course mapper — GitHub-hosted</w:t>
            </w:r>
          </w:p>
        </w:tc>
      </w:tr>
      <w:tr>
        <w:tc>
          <w:tcPr>
            <w:tcW w:type="dxa" w:w="20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H5P (Canvas-integrated)</w:t>
            </w:r>
          </w:p>
        </w:tc>
        <w:tc>
          <w:tcPr>
            <w:tcW w:type="dxa" w:w="1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B5E2C"/>
                <w:sz w:val="17"/>
                <w:szCs w:val="17"/>
              </w:rPr>
              <w:t xml:space="preserve">Free tier / institutional</w:t>
            </w:r>
          </w:p>
        </w:tc>
        <w:tc>
          <w:tcPr>
            <w:tcW w:type="dxa" w:w="5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Interactive content: knowledge checks, drag-and-drop timelines, matching activities — embedded in Canvas Pages</w:t>
            </w:r>
          </w:p>
        </w:tc>
      </w:tr>
      <w:tr>
        <w:tc>
          <w:tcPr>
            <w:tcW w:type="dxa" w:w="20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Microsoft Word / docx.js</w:t>
            </w:r>
          </w:p>
        </w:tc>
        <w:tc>
          <w:tcPr>
            <w:tcW w:type="dxa" w:w="16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B5E2C"/>
                <w:sz w:val="17"/>
                <w:szCs w:val="17"/>
              </w:rPr>
              <w:t xml:space="preserve">Institutional / free</w:t>
            </w:r>
          </w:p>
        </w:tc>
        <w:tc>
          <w:tcPr>
            <w:tcW w:type="dxa" w:w="5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Course map documentation, teaching plans, QM alignment summaries — all built with replicable templates</w:t>
            </w:r>
          </w:p>
        </w:tc>
      </w:tr>
      <w:tr>
        <w:tc>
          <w:tcPr>
            <w:tcW w:type="dxa" w:w="20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QR Code generators</w:t>
            </w:r>
          </w:p>
        </w:tc>
        <w:tc>
          <w:tcPr>
            <w:tcW w:type="dxa" w:w="1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B5E2C"/>
                <w:sz w:val="17"/>
                <w:szCs w:val="17"/>
              </w:rPr>
              <w:t xml:space="preserve">Free</w:t>
            </w:r>
          </w:p>
        </w:tc>
        <w:tc>
          <w:tcPr>
            <w:tcW w:type="dxa" w:w="5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QR codes linking to GitHub dashboards — included in presentations and faculty handouts</w:t>
            </w:r>
          </w:p>
        </w:tc>
      </w:tr>
      <w:tr>
        <w:tc>
          <w:tcPr>
            <w:tcW w:type="dxa" w:w="20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Quality Matters (QM)</w:t>
            </w:r>
          </w:p>
        </w:tc>
        <w:tc>
          <w:tcPr>
            <w:tcW w:type="dxa" w:w="160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B5E2C"/>
                <w:sz w:val="17"/>
                <w:szCs w:val="17"/>
              </w:rPr>
              <w:t xml:space="preserve">Subscription (institutional)</w:t>
            </w:r>
          </w:p>
        </w:tc>
        <w:tc>
          <w:tcPr>
            <w:tcW w:type="dxa" w:w="5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7th Edition standards framework; peer review process; certification credential for courses that complete review</w:t>
            </w:r>
          </w:p>
        </w:tc>
      </w:tr>
      <w:tr>
        <w:tc>
          <w:tcPr>
            <w:tcW w:type="dxa" w:w="20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bCs/>
                <w:color w:val="1A3A5C"/>
                <w:sz w:val="17"/>
                <w:szCs w:val="17"/>
              </w:rPr>
              <w:t xml:space="preserve">AI writing tools (as applicable)</w:t>
            </w:r>
          </w:p>
        </w:tc>
        <w:tc>
          <w:tcPr>
            <w:tcW w:type="dxa" w:w="1600"/>
            <w:gridSpan w:val="1"/>
            <w:tcBorders>
              <w:top w:val="single" w:color="DDE3EB" w:sz="4"/>
              <w:left w:val="single" w:color="DDE3EB" w:sz="4"/>
              <w:bottom w:val="single" w:color="DDE3EB" w:sz="4"/>
              <w:right w:val="single" w:color="DDE3EB" w:sz="4"/>
            </w:tcBorders>
            <w:shd w:fill="E8F1F8"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B5E2C"/>
                <w:sz w:val="17"/>
                <w:szCs w:val="17"/>
              </w:rPr>
              <w:t xml:space="preserve">Free tier</w:t>
            </w:r>
          </w:p>
        </w:tc>
        <w:tc>
          <w:tcPr>
            <w:tcW w:type="dxa" w:w="5760"/>
            <w:gridSpan w:val="1"/>
            <w:tcBorders>
              <w:top w:val="single" w:color="DDE3EB" w:sz="4"/>
              <w:left w:val="single" w:color="DDE3EB" w:sz="4"/>
              <w:bottom w:val="single" w:color="DDE3EB" w:sz="4"/>
              <w:right w:val="single" w:color="DDE3EB" w:sz="4"/>
            </w:tcBorders>
            <w:shd w:fill="FFFFFF" w:val="clear"/>
            <w:tcMar>
              <w:top w:type="dxa" w:w="100"/>
              <w:left w:type="dxa" w:w="140"/>
              <w:bottom w:type="dxa" w:w="100"/>
              <w:right w:type="dxa" w:w="140"/>
            </w:tcMar>
            <w:vAlign w:val="top"/>
          </w:tcPr>
          <w:p>
            <w:pPr>
              <w:spacing w:before="0" w:after="0"/>
              <w:jc w:val="left"/>
            </w:pPr>
            <w:r>
              <w:rPr>
                <w:rFonts w:ascii="Calibri" w:cs="Calibri" w:eastAsia="Calibri" w:hAnsi="Calibri"/>
                <w:b w:val="false"/>
                <w:bCs w:val="false"/>
                <w:color w:val="1A1A2E"/>
                <w:sz w:val="17"/>
                <w:szCs w:val="17"/>
              </w:rPr>
              <w:t xml:space="preserve">Document formatting, template production, draft generation — used as productivity tools under human expert direction</w:t>
            </w:r>
          </w:p>
        </w:tc>
      </w:tr>
    </w:tbl>
    <w:p>
      <w:pPr>
        <w:spacing w:before="60" w:after="20"/>
        <w:jc w:val="left"/>
      </w:pPr>
      <w:r>
        <w:rPr>
          <w:rFonts w:ascii="Calibri" w:cs="Calibri" w:eastAsia="Calibri" w:hAnsi="Calibri"/>
          <w:b w:val="false"/>
          <w:bCs w:val="false"/>
          <w:color w:val="1A1A2E"/>
          <w:sz w:val="20"/>
          <w:szCs w:val="20"/>
        </w:rPr>
        <w:t xml:space="preserve"/>
      </w:r>
    </w:p>
    <w:p>
      <w:pPr>
        <w:pBdr>
          <w:bottom w:val="single" w:color="1B6CA8" w:sz="6"/>
        </w:pBdr>
        <w:spacing w:before="120" w:after="50"/>
      </w:pPr>
      <w:r>
        <w:rPr>
          <w:rFonts w:ascii="Calibri" w:cs="Calibri" w:eastAsia="Calibri" w:hAnsi="Calibri"/>
          <w:b/>
          <w:bCs/>
          <w:color w:val="1B6CA8"/>
          <w:sz w:val="21"/>
          <w:szCs w:val="21"/>
        </w:rPr>
        <w:t xml:space="preserve">Scalability: What Makes This Replicable</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The framework is discipline-agnostic — any 3-credit online course can adopt the eight-module, four-phase structure</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The Canvas Master Shell is exportable — one import sets up the structure for any new course</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Templates are modular — faculty swap content into existing structures rather than designing from scratch</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The cohort model is self-sustaining — Cohort 1 graduates become Cohort 2 mentors, reducing ID coaching load over time</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GitHub dashboards are copyable — each new faculty member gets a template repo they fork and customize</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Documentation is built into the process — course maps and teaching plans are produced as part of the build, not added at the end</w:t>
      </w:r>
    </w:p>
    <w:p>
      <w:pPr>
        <w:pStyle w:val="ListParagraph"/>
        <w:numPr>
          <w:ilvl w:val="0"/>
          <w:numId w:val="2"/>
        </w:numPr>
        <w:spacing w:before="28" w:after="28"/>
      </w:pPr>
      <w:r>
        <w:rPr>
          <w:rFonts w:ascii="Calibri" w:cs="Calibri" w:eastAsia="Calibri" w:hAnsi="Calibri"/>
          <w:b w:val="false"/>
          <w:bCs w:val="false"/>
          <w:color w:val="1A1A2E"/>
          <w:sz w:val="19"/>
          <w:szCs w:val="19"/>
        </w:rPr>
        <w:t xml:space="preserve">QM alignment is embedded — because the framework is already QM-designed, alignment documentation takes hours, not weeks</w:t>
      </w:r>
    </w:p>
    <w:p>
      <w:pPr>
        <w:spacing w:before="40" w:after="20"/>
        <w:jc w:val="left"/>
      </w:pPr>
      <w:r>
        <w:rPr>
          <w:rFonts w:ascii="Calibri" w:cs="Calibri" w:eastAsia="Calibri" w:hAnsi="Calibri"/>
          <w:b w:val="false"/>
          <w:bCs w:val="false"/>
          <w:color w:val="1A1A2E"/>
          <w:sz w:val="20"/>
          <w:szCs w:val="20"/>
        </w:rPr>
        <w:t xml:space="preserve"/>
      </w:r>
    </w:p>
    <w:p>
      <w:pPr>
        <w:pBdr>
          <w:bottom w:val="single" w:color="1A3A5C" w:sz="6"/>
        </w:pBdr>
        <w:spacing w:before="120" w:after="50"/>
      </w:pPr>
      <w:r>
        <w:rPr>
          <w:rFonts w:ascii="Calibri" w:cs="Calibri" w:eastAsia="Calibri" w:hAnsi="Calibri"/>
          <w:b/>
          <w:bCs/>
          <w:color w:val="1A3A5C"/>
          <w:sz w:val="21"/>
          <w:szCs w:val="21"/>
        </w:rPr>
        <w:t xml:space="preserve">What to Add Next: Strategic Recommendations</w:t>
      </w:r>
    </w:p>
    <w:p>
      <w:pPr>
        <w:pStyle w:val="ListParagraph"/>
        <w:numPr>
          <w:ilvl w:val="0"/>
          <w:numId w:val="3"/>
        </w:numPr>
        <w:spacing w:before="28" w:after="28"/>
      </w:pPr>
      <w:r>
        <w:rPr>
          <w:rFonts w:ascii="Calibri" w:cs="Calibri" w:eastAsia="Calibri" w:hAnsi="Calibri"/>
          <w:b w:val="false"/>
          <w:bCs w:val="false"/>
          <w:color w:val="1A1A2E"/>
          <w:sz w:val="19"/>
          <w:szCs w:val="19"/>
        </w:rPr>
        <w:t xml:space="preserve">Build the ftcc-course-design master GitHub hub — 30-minute project, high institutional visibility</w:t>
      </w:r>
    </w:p>
    <w:p>
      <w:pPr>
        <w:pStyle w:val="ListParagraph"/>
        <w:numPr>
          <w:ilvl w:val="0"/>
          <w:numId w:val="3"/>
        </w:numPr>
        <w:spacing w:before="28" w:after="28"/>
      </w:pPr>
      <w:r>
        <w:rPr>
          <w:rFonts w:ascii="Calibri" w:cs="Calibri" w:eastAsia="Calibri" w:hAnsi="Calibri"/>
          <w:b w:val="false"/>
          <w:bCs w:val="false"/>
          <w:color w:val="1A1A2E"/>
          <w:sz w:val="19"/>
          <w:szCs w:val="19"/>
        </w:rPr>
        <w:t xml:space="preserve">Complete the HQCDP Faculty Development Canvas Course (8-module training) — the single highest-leverage next step for scaling</w:t>
      </w:r>
    </w:p>
    <w:p>
      <w:pPr>
        <w:pStyle w:val="ListParagraph"/>
        <w:numPr>
          <w:ilvl w:val="0"/>
          <w:numId w:val="3"/>
        </w:numPr>
        <w:spacing w:before="28" w:after="28"/>
      </w:pPr>
      <w:r>
        <w:rPr>
          <w:rFonts w:ascii="Calibri" w:cs="Calibri" w:eastAsia="Calibri" w:hAnsi="Calibri"/>
          <w:b w:val="false"/>
          <w:bCs w:val="false"/>
          <w:color w:val="1A1A2E"/>
          <w:sz w:val="19"/>
          <w:szCs w:val="19"/>
        </w:rPr>
        <w:t xml:space="preserve">Create the Canvas Master Course Shell — importable by any faculty member, any discipline, any semester</w:t>
      </w:r>
    </w:p>
    <w:p>
      <w:pPr>
        <w:pStyle w:val="ListParagraph"/>
        <w:numPr>
          <w:ilvl w:val="0"/>
          <w:numId w:val="3"/>
        </w:numPr>
        <w:spacing w:before="28" w:after="28"/>
      </w:pPr>
      <w:r>
        <w:rPr>
          <w:rFonts w:ascii="Calibri" w:cs="Calibri" w:eastAsia="Calibri" w:hAnsi="Calibri"/>
          <w:b w:val="false"/>
          <w:bCs w:val="false"/>
          <w:color w:val="1A1A2E"/>
          <w:sz w:val="19"/>
          <w:szCs w:val="19"/>
        </w:rPr>
        <w:t xml:space="preserve">Document student outcome data from HIS-131/132 pilots — completion rates, grade distributions, student satisfaction — for accreditation and grant narratives</w:t>
      </w:r>
    </w:p>
    <w:p>
      <w:pPr>
        <w:pStyle w:val="ListParagraph"/>
        <w:numPr>
          <w:ilvl w:val="0"/>
          <w:numId w:val="3"/>
        </w:numPr>
        <w:spacing w:before="28" w:after="28"/>
      </w:pPr>
      <w:r>
        <w:rPr>
          <w:rFonts w:ascii="Calibri" w:cs="Calibri" w:eastAsia="Calibri" w:hAnsi="Calibri"/>
          <w:b w:val="false"/>
          <w:bCs w:val="false"/>
          <w:color w:val="1A1A2E"/>
          <w:sz w:val="19"/>
          <w:szCs w:val="19"/>
        </w:rPr>
        <w:t xml:space="preserve">Present HQCDP at the next NCCADL conference — regional visibility positions FTCC as a leader, not a follower, in quality online design</w:t>
      </w:r>
    </w:p>
    <w:p>
      <w:pPr>
        <w:pStyle w:val="ListParagraph"/>
        <w:numPr>
          <w:ilvl w:val="0"/>
          <w:numId w:val="3"/>
        </w:numPr>
        <w:spacing w:before="28" w:after="28"/>
      </w:pPr>
      <w:r>
        <w:rPr>
          <w:rFonts w:ascii="Calibri" w:cs="Calibri" w:eastAsia="Calibri" w:hAnsi="Calibri"/>
          <w:b w:val="false"/>
          <w:bCs w:val="false"/>
          <w:color w:val="1A1A2E"/>
          <w:sz w:val="19"/>
          <w:szCs w:val="19"/>
        </w:rPr>
        <w:t xml:space="preserve">Apply for a Perkins V innovation grant to fund faculty stipends for Cohort 1 course development — links directly to CTE alignment requirements you already track</w:t>
      </w:r>
    </w:p>
    <w:p>
      <w:pPr>
        <w:pStyle w:val="ListParagraph"/>
        <w:numPr>
          <w:ilvl w:val="0"/>
          <w:numId w:val="3"/>
        </w:numPr>
        <w:spacing w:before="28" w:after="28"/>
      </w:pPr>
      <w:r>
        <w:rPr>
          <w:rFonts w:ascii="Calibri" w:cs="Calibri" w:eastAsia="Calibri" w:hAnsi="Calibri"/>
          <w:b w:val="false"/>
          <w:bCs w:val="false"/>
          <w:color w:val="1A1A2E"/>
          <w:sz w:val="19"/>
          <w:szCs w:val="19"/>
        </w:rPr>
        <w:t xml:space="preserve">Request formal QM Institutional Membership if not current — opens access to QM peer review, which is the external validation that makes HQCDP certifications defensible at accreditation</w:t>
      </w:r>
    </w:p>
    <w:p>
      <w:pPr>
        <w:pStyle w:val="ListParagraph"/>
        <w:numPr>
          <w:ilvl w:val="0"/>
          <w:numId w:val="3"/>
        </w:numPr>
        <w:spacing w:before="28" w:after="28"/>
      </w:pPr>
      <w:r>
        <w:rPr>
          <w:rFonts w:ascii="Calibri" w:cs="Calibri" w:eastAsia="Calibri" w:hAnsi="Calibri"/>
          <w:b w:val="false"/>
          <w:bCs w:val="false"/>
          <w:color w:val="1A1A2E"/>
          <w:sz w:val="19"/>
          <w:szCs w:val="19"/>
        </w:rPr>
        <w:t xml:space="preserve">Create a one-page HQCDP Impact Report each semester — courses certified, faculty trained, student seats in certified courses, RSI compliance rate — for VP/President reporting</w:t>
      </w:r>
    </w:p>
    <w:p>
      <w:pPr>
        <w:spacing w:before="40" w:after="20"/>
        <w:jc w:val="left"/>
      </w:pPr>
      <w:r>
        <w:rPr>
          <w:rFonts w:ascii="Calibri" w:cs="Calibri" w:eastAsia="Calibri" w:hAnsi="Calibri"/>
          <w:b w:val="false"/>
          <w:bCs w:val="false"/>
          <w:color w:val="1A1A2E"/>
          <w:sz w:val="20"/>
          <w:szCs w:val="20"/>
        </w:rPr>
        <w:t xml:space="preserve"/>
      </w:r>
    </w:p>
    <w:p>
      <w:pPr>
        <w:shd w:fill="F0F2F5" w:val="clear"/>
        <w:spacing w:before="80" w:after="80"/>
      </w:pPr>
      <w:r>
        <w:rPr>
          <w:rFonts w:ascii="Calibri" w:cs="Calibri" w:eastAsia="Calibri" w:hAnsi="Calibri"/>
          <w:b w:val="false"/>
          <w:bCs w:val="false"/>
          <w:color w:val="4A5568"/>
          <w:sz w:val="16"/>
          <w:szCs w:val="16"/>
        </w:rPr>
        <w:t xml:space="preserve">  Angela Westmoreland, M.Ed.  |  Instructional Support &amp; Quality Assurance  |  FTCC  |  Spring 2026  |  HQCDP Strategic Framework</w:t>
      </w:r>
    </w:p>
    <w:sectPr>
      <w:headerReference w:type="default" r:id="rId6"/>
      <w:footerReference w:type="default" r:id="rId7"/>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b w:val="false"/>
        <w:bCs w:val="false"/>
        <w:color w:val="4A5568"/>
        <w:sz w:val="15"/>
        <w:szCs w:val="15"/>
      </w:rPr>
      <w:t xml:space="preserve">High-Quality Course Design Program  |  Angela Westmoreland, M.Ed.  |  Instructional Support &amp; Quality Assurance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b w:val="false"/>
        <w:bCs w:val="false"/>
        <w:color w:val="4A5568"/>
        <w:sz w:val="15"/>
        <w:szCs w:val="15"/>
      </w:rPr>
      <w:t xml:space="preserve">FTCC HQCDP  |  Strategic Implementation Framework  |  Spring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80"/>
      </w:pPr>
    </w:lvl>
    <w:lvl w:ilvl="1" w15:tentative="1">
      <w:start w:val="1"/>
      <w:numFmt w:val="bullet"/>
      <w:lvlText w:val="-"/>
      <w:lvlJc w:val="left"/>
      <w:pPr>
        <w:ind w:left="800" w:hanging="280"/>
      </w:pPr>
    </w:lvl>
  </w:abstractNum>
  <w:abstractNum w:abstractNumId="3" w15:restartNumberingAfterBreak="0">
    <w:multiLevelType w:val="hybridMultilevel"/>
    <w:lvl w:ilvl="0" w15:tentative="1">
      <w:start w:val="1"/>
      <w:numFmt w:val="decimal"/>
      <w:lvlText w:val="%1."/>
      <w:lvlJc w:val="left"/>
      <w:pPr>
        <w:ind w:left="44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2026-03-17T13:54:45.396Z</dcterms:created>
  <dcterms:modified xsi:type="dcterms:W3CDTF">2026-03-17T13:54:45.397Z</dcterms:modified>
</cp:coreProperties>
</file>

<file path=docProps/custom.xml><?xml version="1.0" encoding="utf-8"?>
<Properties xmlns="http://schemas.openxmlformats.org/officeDocument/2006/custom-properties" xmlns:vt="http://schemas.openxmlformats.org/officeDocument/2006/docPropsVTypes"/>
</file>