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FAYETTEVILLE TECHNICAL COMMUNITY COLLEGE</w:t>
            </w:r>
          </w:p>
          <w:p>
            <w:pPr>
              <w:spacing w:before="20"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D5E8F0"/>
                <w:sz w:val="15"/>
                <w:szCs w:val="15"/>
              </w:rPr>
              <w:t xml:space="preserve">HIGH-QUALITY COURSE DESIGN PROGRAM  •  INSTRUCTIONAL SUPPORT &amp; QUALITY ASSURANCE</w:t>
            </w:r>
          </w:p>
        </w:tc>
      </w:tr>
    </w:tbl>
    <w:p>
      <w:pPr>
        <w:spacing w:before="120" w:after="20"/>
        <w:jc w:val="center"/>
      </w:pPr>
      <w:r>
        <w:rPr>
          <w:rFonts w:ascii="Georgia" w:cs="Georgia" w:eastAsia="Georgia" w:hAnsi="Georgia"/>
          <w:b/>
          <w:bCs/>
          <w:color w:val="1A3A5C"/>
          <w:sz w:val="36"/>
          <w:szCs w:val="36"/>
        </w:rPr>
        <w:t xml:space="preserve">Presenter Notes &amp; Audience Handout</w:t>
      </w:r>
    </w:p>
    <w:p>
      <w:pPr>
        <w:spacing w:before="0" w:after="30"/>
        <w:jc w:val="center"/>
      </w:pPr>
      <w:r>
        <w:rPr>
          <w:rFonts w:ascii="Georgia" w:cs="Georgia" w:eastAsia="Georgia" w:hAnsi="Georgia"/>
          <w:b/>
          <w:bCs/>
          <w:color w:val="2D7D9A"/>
          <w:sz w:val="22"/>
          <w:szCs w:val="22"/>
        </w:rPr>
        <w:t xml:space="preserve">High-Quality Online Course Design — Model, Method &amp; Measurable Results</w:t>
      </w:r>
    </w:p>
    <w:p>
      <w:pPr>
        <w:spacing w:before="0" w:after="60"/>
        <w:jc w:val="center"/>
      </w:pPr>
      <w:r>
        <w:rPr>
          <w:rFonts w:ascii="Calibri" w:cs="Calibri" w:eastAsia="Calibri" w:hAnsi="Calibri"/>
          <w:b w:val="false"/>
          <w:bCs w:val="false"/>
          <w:color w:val="64748B"/>
          <w:sz w:val="17"/>
          <w:szCs w:val="17"/>
        </w:rPr>
        <w:t xml:space="preserve">Angela Westmoreland, M.Ed.  |  FTCC HQCDP  |  Spring 2026</w:t>
      </w:r>
    </w:p>
    <w:p>
      <w:pPr>
        <w:pBdr>
          <w:bottom w:val="single" w:color="C9A84C" w:sz="4" w:space="1"/>
        </w:pBdr>
        <w:spacing w:before="80"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94A3B8"/>
                <w:sz w:val="18"/>
                <w:szCs w:val="18"/>
              </w:rPr>
              <w:t xml:space="preserve">[ QR CODE ]</w:t>
            </w:r>
          </w:p>
          <w:p>
            <w:pPr>
              <w:spacing w:before="20"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Scan for full dashboard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20"/>
                <w:szCs w:val="20"/>
              </w:rPr>
              <w:t xml:space="preserve">📊  Full Interactive Dashboard</w:t>
            </w:r>
          </w:p>
          <w:p>
            <w:pPr>
              <w:spacing w:before="20" w:after="1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9"/>
                <w:szCs w:val="19"/>
              </w:rPr>
              <w:t xml:space="preserve">amlw05.github.io/history-dashboard</w:t>
            </w:r>
          </w:p>
          <w:p>
            <w:pPr>
              <w:spacing w:before="0" w:after="20"/>
            </w:pPr>
            <w:r>
              <w:rPr>
                <w:rFonts w:ascii="Calibri" w:cs="Calibri" w:eastAsia="Calibri" w:hAnsi="Calibri"/>
                <w:b w:val="false"/>
                <w:bCs w:val="false"/>
                <w:color w:val="D5E8F0"/>
                <w:sz w:val="16"/>
                <w:szCs w:val="16"/>
              </w:rPr>
              <w:t xml:space="preserve">HIS-131 &amp; HIS-132 course modules, QM alignment, workload calculator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C9A84C"/>
                <w:sz w:val="20"/>
                <w:szCs w:val="20"/>
              </w:rPr>
              <w:t xml:space="preserve">📋  HQCDP Resources &amp; Templates</w:t>
            </w:r>
          </w:p>
          <w:p>
            <w:pPr>
              <w:spacing w:before="20"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9"/>
                <w:szCs w:val="19"/>
              </w:rPr>
              <w:t xml:space="preserve">amlw05.github.io/ftcc-course-design</w:t>
            </w:r>
          </w:p>
          <w:p>
            <w:pPr>
              <w:spacing w:before="0"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D5E8F0"/>
                <w:sz w:val="16"/>
                <w:szCs w:val="16"/>
              </w:rPr>
              <w:t xml:space="preserve">Course maps, teaching plans, workload calculator, this handout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C9A84C"/>
                <w:sz w:val="28"/>
                <w:szCs w:val="28"/>
              </w:rPr>
              <w:t xml:space="preserve">22/22</w:t>
            </w: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6"/>
                <w:szCs w:val="16"/>
              </w:rPr>
              <w:t xml:space="preserve">
QM Standards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7D9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135+</w:t>
            </w: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6"/>
                <w:szCs w:val="16"/>
              </w:rPr>
              <w:t xml:space="preserve">
Student Hours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2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48+</w:t>
            </w: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6"/>
                <w:szCs w:val="16"/>
              </w:rPr>
              <w:t xml:space="preserve">
RSI Touchpoints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9A84C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28"/>
                <w:szCs w:val="28"/>
              </w:rPr>
              <w:t xml:space="preserve">$0</w:t>
            </w: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
Student Cost</w:t>
            </w:r>
          </w:p>
        </w:tc>
      </w:tr>
    </w:tbl>
    <w:p/>
    <w:p>
      <w:pPr>
        <w:pBdr>
          <w:bottom w:val="single" w:color="C9A84C" w:sz="4" w:space="1"/>
        </w:pBdr>
        <w:spacing w:before="80" w:after="80"/>
      </w:pPr>
    </w:p>
    <w:p>
      <w:pPr>
        <w:pBdr>
          <w:bottom w:val="single" w:color="C9A84C" w:sz="5" w:space="4"/>
        </w:pBdr>
        <w:spacing w:before="220" w:after="70"/>
      </w:pPr>
      <w:r>
        <w:rPr>
          <w:rFonts w:ascii="Calibri" w:cs="Calibri" w:eastAsia="Calibri" w:hAnsi="Calibri"/>
          <w:b/>
          <w:bCs/>
          <w:color w:val="1A3A5C"/>
          <w:sz w:val="26"/>
          <w:szCs w:val="26"/>
        </w:rPr>
        <w:t xml:space="preserve">Slide-by-Slide Notes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Title Slide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Introduce yourself: Angela Westmoreland, Instructional Support &amp; QA Analyst, 20+ years ID, 4 QM certifications, VP of NCCCADL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This is a presentation about a model — not just two history courses. The model scales to any discipline.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All materials from this presentation are available at the QR code / URL above.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Introduce yourself: Angela Westmoreland, Instructional Support &amp; QA Analyst, 20+...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2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Section 1: The Model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Set up the problem before presenting the solution. Faculty recognize the grading ROI issue immediately.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before/after framing is deliberately simple — pause here and let the audience find themselves in the 'before' column.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Set up the problem before presenting the solution. Faculty recognize the grading...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3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The Problem We Solved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These three pain points (Grading ROI, Engagement Gaps, Alignment Issues) are universal — they apply to every online course in every discipline.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closing statement is the key: 'a replicable, quality-assured model.' Emphasize replicable.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These three pain points (Grading ROI, Engagement Gaps, Alignment Issues) are uni...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4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The Model Course Structure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Walk through all four phases. Pause on APPLY — this is where RSI happens. This is the federal compliance answer.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Note that IC 4 (primary source) is new — every module now includes a free, institutionally hosted primary source.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Walk through all four phases. Pause on APPLY — this is where RSI happens. This i...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5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8-Module Framework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alternating pattern is the key design insight. Odd = Submit (students produce). Even = Discuss (instructor engages).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This is not arbitrary — it gives students time to produce quality work AND gives the instructor time to provide quality feedback.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The alternating pattern is the key design insight. Odd = Submit (students produc...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6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Section 2: RSI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This is often the section that gets the most questions. Preview the three-way distinction before the next slide.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This is often the section that gets the most questions. Preview the three-way di...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7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Three Concepts Cleared Up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Draw this distinction slowly: RSI is what the INSTRUCTOR does. Cognitive load is how HARD each task is. Workload is how much TIME it takes.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Most faculty conflate all three. Once they see them as separate, the course design makes much more sense.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Draw this distinction slowly: RSI is what the INSTRUCTOR does. Cognitive load is...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8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RSI: The Federal Standard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key stat: 48+ touchpoints exceeds the federal minimum by 10×. This is documented, not estimated.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Emphasize the IS NOT column — many administrators think quantity of activities = RSI. It does not.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The key stat: 48+ touchpoints exceeds the federal minimum by 10×. This is docume...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9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Instructor ROI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This slide often produces the strongest reaction from faculty. 49% auto-graded means 49% of the points free up instructor time for the 51% that matters.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result: faculty have cognitive space to provide meaningful RSI where it counts.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This slide often produces the strongest reaction from faculty. 49% auto-graded m...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10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Section 3: Proof of Concept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numbers on this slide are all documented and verifiable. Be ready to show the course maps and workload calculation.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The numbers on this slide are all documented and verifiable. Be ready to show th...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11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HIS-131 Implementation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Walk through the Course Features column. The IC 4 primary source list is new — Cortés through Lincoln, all free, all institutionally hosted.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Walk through the Course Features column. The IC 4 primary source list is new — C...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12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HIS-132 &amp; Scalability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key line: 'The model works across subjects. The framework is the scaffold — not the content.'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This is the scalability pitch. If it works for two history courses, it works for business, nursing, CIT.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The key line: 'The model works across subjects. The framework is the scaffold — 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13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IC 4: Primary Sources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This is new content since the last version. All 16 sources across both courses — free, stable URLs, historically significant.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Total documented reading time from IC 4 alone: 12 hours across both courses. Zero cost to students.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This is new content since the last version. All 16 sources across both courses —...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14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The Course 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The course map is the certification vehicle. Walk through the 6-step workflow. Faculty often don't realize how systematic this is.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The course map is the certification vehicle. Walk through the 6-step workflow. F...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A5C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9A84C"/>
                <w:sz w:val="18"/>
                <w:szCs w:val="18"/>
              </w:rPr>
              <w:t xml:space="preserve">Slide 15  |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This Means for FTCC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296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CCCCCC" w:sz="1"/>
              <w:right w:val="single" w:color="CCCCCC" w:sz="1"/>
            </w:tcBorders>
            <w:tcMar>
              <w:top w:type="dxa" w:w="80"/>
              <w:left w:type="dxa" w:w="0"/>
              <w:bottom w:type="dxa" w:w="80"/>
              <w:right w:type="dxa" w:w="14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Close with the four quadrants: Replicable, Defensible, Sustainable, Data-driven.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Leave time for questions. The most common: 'How long does this take?' Answer: Faculty invest 12–18 hours. ID does the rest.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8" w:after="1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Direct everyone to the QR code / URL for all materials.</w:t>
            </w:r>
          </w:p>
          <w:p>
            <w:pPr>
              <w:pBdr>
                <w:bottom w:val="single" w:color="E2E8F0" w:sz="2" w:space="1"/>
              </w:pBdr>
              <w:spacing w:before="40" w:after="40"/>
            </w:pPr>
            <w:r>
              <w:rPr>
                <w:rFonts w:ascii="Calibri" w:cs="Calibri" w:eastAsia="Calibri" w:hAnsi="Calibri"/>
                <w:b w:val="false"/>
                <w:bCs w:val="false"/>
                <w:color w:val="94A3B8"/>
                <w:sz w:val="17"/>
                <w:szCs w:val="17"/>
              </w:rPr>
              <w:t xml:space="preserve">Notes:</w:t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  <w:p>
            <w:pPr>
              <w:spacing w:before="0" w:after="28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/>
            </w:r>
          </w:p>
        </w:tc>
        <w:tc>
          <w:tcPr>
            <w:tcW w:type="dxa" w:w="2960"/>
            <w:tcBorders>
              <w:top w:val="none" w:color="FFFFFF" w:sz="0"/>
              <w:left w:val="single" w:color="CCCCCC" w:sz="1"/>
              <w:bottom w:val="single" w:color="CCCCCC" w:sz="1"/>
              <w:right w:val="none" w:color="FFFFFF" w:sz="0"/>
            </w:tcBorders>
            <w:tcMar>
              <w:top w:type="dxa" w:w="80"/>
              <w:left w:type="dxa" w:w="140"/>
              <w:bottom w:type="dxa" w:w="80"/>
              <w:right w:type="dxa" w:w="0"/>
            </w:tcMar>
            <w:vAlign w:val="top"/>
          </w:tcPr>
          <w:p>
            <w:pPr>
              <w:spacing w:before="0" w:after="20"/>
            </w:pPr>
            <w:r>
              <w:rPr>
                <w:rFonts w:ascii="Calibri" w:cs="Calibri" w:eastAsia="Calibri" w:hAnsi="Calibri"/>
                <w:b/>
                <w:bCs/>
                <w:color w:val="2D7D9A"/>
                <w:sz w:val="16"/>
                <w:szCs w:val="16"/>
              </w:rPr>
              <w:t xml:space="preserve">Key Talking Point:</w:t>
            </w:r>
          </w:p>
          <w:p>
            <w:pPr>
              <w:spacing w:before="0"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64748B"/>
                <w:sz w:val="15"/>
                <w:szCs w:val="15"/>
              </w:rPr>
              <w:t xml:space="preserve">Close with the four quadrants: Replicable, Defensible, Sustainable, Data-driven....</w:t>
            </w:r>
          </w:p>
        </w:tc>
      </w:tr>
    </w:tbl>
    <w:p/>
    <w:p/>
    <w:p>
      <w:pPr>
        <w:pBdr>
          <w:bottom w:val="single" w:color="C9A84C" w:sz="4" w:space="1"/>
        </w:pBdr>
        <w:spacing w:before="80" w:after="80"/>
      </w:pPr>
    </w:p>
    <w:p>
      <w:pPr>
        <w:pBdr>
          <w:bottom w:val="single" w:color="C9A84C" w:sz="5" w:space="4"/>
        </w:pBdr>
        <w:spacing w:before="220" w:after="70"/>
      </w:pPr>
      <w:r>
        <w:rPr>
          <w:rFonts w:ascii="Calibri" w:cs="Calibri" w:eastAsia="Calibri" w:hAnsi="Calibri"/>
          <w:b/>
          <w:bCs/>
          <w:color w:val="1A3A5C"/>
          <w:sz w:val="26"/>
          <w:szCs w:val="26"/>
        </w:rPr>
        <w:t xml:space="preserve">Anticipated Questions &amp; Suggested Responses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560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Likely Question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Suggested Response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How long does it take to build one of these courses?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Faculty invest about 12–18 hours — the subject expertise decisions only they can make. The instructional design partner handles the rest. Total team time is 100–140 hours, but it's distributed correctly.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Did AI build these courses?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No. AI produced formatting and documents from decisions I made. Every pedagogical decision — outcomes, sources, alignment — was mine. QM used the same AI tool to build their own AI ethics toolkit, which is the professional standard.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Can this model work for [discipline]?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Yes — that's the point of building it as a discipline-agnostic framework. The CLOs and content change; the 8-module, 4-phase structure doesn't. We're already applying it to Business, CIT, and Humanities.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What does this cost?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Students pay $0 — American YAWP is free OER. The institutional investment is instructional design time, which is already budgeted. The ROI is documented: it saves 900–1,300 faculty hours per semester.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How do we scale this to more courses?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7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9"/>
                <w:szCs w:val="19"/>
              </w:rPr>
              <w:t xml:space="preserve">The cohort model. 4–6 faculty per semester, each building one course with ID support. Templates, tools, and the dashboard are already built. Scaling is a staffing question, not a design question.</w:t>
            </w:r>
          </w:p>
        </w:tc>
      </w:tr>
    </w:tbl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2026-03-17T16:11:59.368Z</dcterms:created>
  <dcterms:modified xsi:type="dcterms:W3CDTF">2026-03-17T16:11:59.368Z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