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none" w:color="FFFFFF" w:sz="0"/>
              <w:left w:val="none" w:color="FFFFFF" w:sz="0"/>
              <w:bottom w:val="none" w:color="FFFFFF" w:sz="0"/>
              <w:right w:val="none" w:color="FFFFFF" w:sz="0"/>
            </w:tcBorders>
            <w:shd w:fill="1A3A5C" w:val="clear"/>
            <w:tcMar>
              <w:top w:type="dxa" w:w="160"/>
              <w:left w:type="dxa" w:w="200"/>
              <w:bottom w:type="dxa" w:w="160"/>
              <w:right w:type="dxa" w:w="200"/>
            </w:tcMar>
          </w:tcPr>
          <w:p>
            <w:pPr>
              <w:jc w:val="center"/>
            </w:pPr>
            <w:r>
              <w:rPr>
                <w:rFonts w:ascii="Calibri" w:cs="Calibri" w:eastAsia="Calibri" w:hAnsi="Calibri"/>
                <w:b/>
                <w:bCs/>
                <w:color w:val="FFFFFF"/>
                <w:sz w:val="18"/>
                <w:szCs w:val="18"/>
              </w:rPr>
              <w:t xml:space="preserve">FAYETTEVILLE TECHNICAL COMMUNITY COLLEGE</w:t>
            </w:r>
          </w:p>
          <w:p>
            <w:pPr>
              <w:spacing w:before="20" w:after="0"/>
              <w:jc w:val="center"/>
            </w:pPr>
            <w:r>
              <w:rPr>
                <w:rFonts w:ascii="Calibri" w:cs="Calibri" w:eastAsia="Calibri" w:hAnsi="Calibri"/>
                <w:b w:val="false"/>
                <w:bCs w:val="false"/>
                <w:color w:val="D5E8F0"/>
                <w:sz w:val="15"/>
                <w:szCs w:val="15"/>
              </w:rPr>
              <w:t xml:space="preserve">HIGH-QUALITY COURSE DESIGN PROGRAM  •  INSTRUCTIONAL SUPPORT &amp; QUALITY ASSURANCE</w:t>
            </w:r>
          </w:p>
        </w:tc>
      </w:tr>
    </w:tbl>
    <w:p>
      <w:pPr>
        <w:spacing w:before="120" w:after="20"/>
        <w:jc w:val="center"/>
      </w:pPr>
      <w:r>
        <w:rPr>
          <w:rFonts w:ascii="Georgia" w:cs="Georgia" w:eastAsia="Georgia" w:hAnsi="Georgia"/>
          <w:b/>
          <w:bCs/>
          <w:color w:val="1A3A5C"/>
          <w:sz w:val="36"/>
          <w:szCs w:val="36"/>
        </w:rPr>
        <w:t xml:space="preserve">Faculty Guide to AI-Assisted Course Design</w:t>
      </w:r>
    </w:p>
    <w:p>
      <w:pPr>
        <w:spacing w:before="0" w:after="30"/>
        <w:jc w:val="center"/>
      </w:pPr>
      <w:r>
        <w:rPr>
          <w:rFonts w:ascii="Georgia" w:cs="Georgia" w:eastAsia="Georgia" w:hAnsi="Georgia"/>
          <w:b/>
          <w:bCs/>
          <w:color w:val="2D7D9A"/>
          <w:sz w:val="22"/>
          <w:szCs w:val="22"/>
        </w:rPr>
        <w:t xml:space="preserve">Implementation, Process, and Professional Development</w:t>
      </w:r>
    </w:p>
    <w:p>
      <w:pPr>
        <w:spacing w:before="0" w:after="60"/>
        <w:jc w:val="center"/>
      </w:pPr>
      <w:r>
        <w:rPr>
          <w:rFonts w:ascii="Calibri" w:cs="Calibri" w:eastAsia="Calibri" w:hAnsi="Calibri"/>
          <w:b w:val="false"/>
          <w:bCs w:val="false"/>
          <w:color w:val="64748B"/>
          <w:sz w:val="17"/>
          <w:szCs w:val="17"/>
        </w:rPr>
        <w:t xml:space="preserve">FTCC High-Quality Course Design Program  |  Spring 2026</w:t>
      </w:r>
    </w:p>
    <w:p>
      <w:pPr>
        <w:pBdr>
          <w:bottom w:val="single" w:color="C9A84C" w:sz="4" w:space="1"/>
        </w:pBdr>
        <w:spacing w:before="80"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6"/>
              <w:left w:val="single" w:color="C9A84C" w:sz="16"/>
              <w:bottom w:val="single" w:color="C9A84C" w:sz="2"/>
              <w:right w:val="single" w:color="C9A84C" w:sz="2"/>
            </w:tcBorders>
            <w:shd w:fill="FDF5E0" w:val="clear"/>
            <w:tcMar>
              <w:top w:type="dxa" w:w="110"/>
              <w:left w:type="dxa" w:w="170"/>
              <w:bottom w:type="dxa" w:w="110"/>
              <w:right w:type="dxa" w:w="170"/>
            </w:tcMar>
          </w:tcPr>
          <w:p>
            <w:pPr>
              <w:spacing w:before="0" w:after="35"/>
            </w:pPr>
            <w:r>
              <w:rPr>
                <w:rFonts w:ascii="Calibri" w:cs="Calibri" w:eastAsia="Calibri" w:hAnsi="Calibri"/>
                <w:b/>
                <w:bCs/>
                <w:color w:val="C9A84C"/>
                <w:sz w:val="18"/>
                <w:szCs w:val="18"/>
              </w:rPr>
              <w:t xml:space="preserve">What This Guide Is</w:t>
            </w:r>
          </w:p>
          <w:p>
            <w:pPr>
              <w:spacing w:before="0" w:after="0"/>
            </w:pPr>
            <w:r>
              <w:rPr>
                <w:rFonts w:ascii="Calibri" w:cs="Calibri" w:eastAsia="Calibri" w:hAnsi="Calibri"/>
                <w:b w:val="false"/>
                <w:bCs w:val="false"/>
                <w:color w:val="1A1A2E"/>
                <w:sz w:val="19"/>
                <w:szCs w:val="19"/>
              </w:rPr>
              <w:t xml:space="preserve">This guide helps FTCC faculty understand how AI tools fit into the HQCDP course design process — what they can do, what they cannot do, how to use them responsibly, and how the HQCDP partnership supports you through the full build. It also describes the cohort model, the certification process, and the professional development pathway.</w:t>
            </w:r>
          </w:p>
        </w:tc>
      </w:tr>
    </w:tbl>
    <w:p/>
    <w:p>
      <w:pPr>
        <w:pBdr>
          <w:bottom w:val="single" w:color="C9A84C" w:sz="5" w:space="4"/>
        </w:pBdr>
        <w:spacing w:before="220" w:after="70"/>
      </w:pPr>
      <w:r>
        <w:rPr>
          <w:rFonts w:ascii="Calibri" w:cs="Calibri" w:eastAsia="Calibri" w:hAnsi="Calibri"/>
          <w:b/>
          <w:bCs/>
          <w:color w:val="1A3A5C"/>
          <w:sz w:val="26"/>
          <w:szCs w:val="26"/>
        </w:rPr>
        <w:t xml:space="preserve">Section 1: What AI Tools Can and Cannot Do For You</w:t>
      </w:r>
    </w:p>
    <w:p>
      <w:pPr>
        <w:spacing w:before="50" w:after="50"/>
      </w:pPr>
      <w:r>
        <w:rPr>
          <w:rFonts w:ascii="Calibri" w:cs="Calibri" w:eastAsia="Calibri" w:hAnsi="Calibri"/>
          <w:b w:val="false"/>
          <w:bCs w:val="false"/>
          <w:color w:val="1A1A2E"/>
          <w:sz w:val="20"/>
          <w:szCs w:val="20"/>
        </w:rPr>
        <w:t xml:space="preserve">AI tools are available to all FTCC instructional designers and faculty. Used correctly, they accelerate document production and formatting. Used incorrectly, they produce generic output that fails QM review and doesn't serve your students.</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pPr>
              <w:jc w:val="center"/>
            </w:pPr>
            <w:r>
              <w:rPr>
                <w:rFonts w:ascii="Calibri" w:cs="Calibri" w:eastAsia="Calibri" w:hAnsi="Calibri"/>
                <w:b/>
                <w:bCs/>
                <w:color w:val="FFFFFF"/>
                <w:sz w:val="18"/>
                <w:szCs w:val="18"/>
              </w:rPr>
              <w:t xml:space="preserve">✅  AI CAN help you with...</w:t>
            </w:r>
          </w:p>
        </w:tc>
        <w:tc>
          <w:tcPr>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pPr>
              <w:jc w:val="center"/>
            </w:pPr>
            <w:r>
              <w:rPr>
                <w:rFonts w:ascii="Calibri" w:cs="Calibri" w:eastAsia="Calibri" w:hAnsi="Calibri"/>
                <w:b/>
                <w:bCs/>
                <w:color w:val="FFFFFF"/>
                <w:sz w:val="18"/>
                <w:szCs w:val="18"/>
              </w:rPr>
              <w:t xml:space="preserve">❌  AI CANNOT replace...</w:t>
            </w:r>
          </w:p>
        </w:tc>
      </w:tr>
      <w:tr>
        <w:tc>
          <w:tcPr>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Formatting course maps and teaching plans to template specifications</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Your subject matter expertise — what belongs in a history course vs. a nursing course</w:t>
            </w:r>
          </w:p>
        </w:tc>
      </w:tr>
      <w:tr>
        <w:tc>
          <w:tcPr>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Generating consistently structured documents across multiple modules</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The decision about which outcomes matter and how to sequence them</w:t>
            </w:r>
          </w:p>
        </w:tc>
      </w:tr>
      <w:tr>
        <w:tc>
          <w:tcPr>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Drafting discussion board prompts and portfolio instructions based on your outline</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Selecting primary sources that are pedagogically appropriate for your specific learners</w:t>
            </w:r>
          </w:p>
        </w:tc>
      </w:tr>
      <w:tr>
        <w:tc>
          <w:tcPr>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Building interactive tools (calculators, dashboards) from your data</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Verifying QM alignment — that requires knowing what QM standards actually mean in practice</w:t>
            </w:r>
          </w:p>
        </w:tc>
      </w:tr>
      <w:tr>
        <w:tc>
          <w:tcPr>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Producing multiple document formats quickly from a single content set</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RSI design — understanding federal requirements and how your course meets them</w:t>
            </w:r>
          </w:p>
        </w:tc>
      </w:tr>
      <w:tr>
        <w:tc>
          <w:tcPr>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Helping you think through options when you are stuck on a design problem</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The professional judgment that makes a well-designed course different from a formatted one</w:t>
            </w:r>
          </w:p>
        </w:tc>
      </w:tr>
    </w:tbl>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2D7D9A" w:sz="6"/>
              <w:left w:val="single" w:color="2D7D9A" w:sz="16"/>
              <w:bottom w:val="single" w:color="2D7D9A" w:sz="2"/>
              <w:right w:val="single" w:color="2D7D9A" w:sz="2"/>
            </w:tcBorders>
            <w:shd w:fill="D5E8F0" w:val="clear"/>
            <w:tcMar>
              <w:top w:type="dxa" w:w="110"/>
              <w:left w:type="dxa" w:w="170"/>
              <w:bottom w:type="dxa" w:w="110"/>
              <w:right w:type="dxa" w:w="170"/>
            </w:tcMar>
          </w:tcPr>
          <w:p>
            <w:pPr>
              <w:spacing w:before="0" w:after="35"/>
            </w:pPr>
            <w:r>
              <w:rPr>
                <w:rFonts w:ascii="Calibri" w:cs="Calibri" w:eastAsia="Calibri" w:hAnsi="Calibri"/>
                <w:b/>
                <w:bCs/>
                <w:color w:val="2D7D9A"/>
                <w:sz w:val="18"/>
                <w:szCs w:val="18"/>
              </w:rPr>
              <w:t xml:space="preserve">The Professional Standard</w:t>
            </w:r>
          </w:p>
          <w:p>
            <w:pPr>
              <w:spacing w:before="0" w:after="0"/>
            </w:pPr>
            <w:r>
              <w:rPr>
                <w:rFonts w:ascii="Calibri" w:cs="Calibri" w:eastAsia="Calibri" w:hAnsi="Calibri"/>
                <w:b w:val="false"/>
                <w:bCs w:val="false"/>
                <w:color w:val="1A1A2E"/>
                <w:sz w:val="19"/>
                <w:szCs w:val="19"/>
              </w:rPr>
              <w:t xml:space="preserve">Quality Matters used Claude AI to develop their own AI ethics toolkit, noting that "all output provided by this tool has been reviewed and significantly edited, amended, and expanded by QM experts." That is the standard: AI assists, experts decide. The HQCDP partnership ensures you have both.</w:t>
            </w:r>
          </w:p>
        </w:tc>
      </w:tr>
    </w:tbl>
    <w:p/>
    <w:p>
      <w:pPr>
        <w:pBdr>
          <w:bottom w:val="single" w:color="C9A84C" w:sz="5" w:space="4"/>
        </w:pBdr>
        <w:spacing w:before="220" w:after="70"/>
      </w:pPr>
      <w:r>
        <w:rPr>
          <w:rFonts w:ascii="Calibri" w:cs="Calibri" w:eastAsia="Calibri" w:hAnsi="Calibri"/>
          <w:b/>
          <w:bCs/>
          <w:color w:val="1A3A5C"/>
          <w:sz w:val="26"/>
          <w:szCs w:val="26"/>
        </w:rPr>
        <w:t xml:space="preserve">Section 2: The HQCDP Course Development Process</w:t>
      </w:r>
    </w:p>
    <w:p>
      <w:pPr>
        <w:spacing w:before="160" w:after="40"/>
      </w:pPr>
      <w:r>
        <w:rPr>
          <w:rFonts w:ascii="Calibri" w:cs="Calibri" w:eastAsia="Calibri" w:hAnsi="Calibri"/>
          <w:b/>
          <w:bCs/>
          <w:color w:val="2D7D9A"/>
          <w:sz w:val="22"/>
          <w:szCs w:val="22"/>
        </w:rPr>
        <w:t xml:space="preserve">Step-by-Step: From Enrollment to Certification</w:t>
      </w:r>
    </w:p>
    <w:p/>
    <w:p>
      <w:pPr>
        <w:pStyle w:val="ListParagraph"/>
        <w:numPr>
          <w:ilvl w:val="0"/>
          <w:numId w:val="2"/>
        </w:numPr>
        <w:spacing w:before="22" w:after="22"/>
      </w:pPr>
      <w:r>
        <w:rPr>
          <w:rFonts w:ascii="Calibri" w:cs="Calibri" w:eastAsia="Calibri" w:hAnsi="Calibri"/>
          <w:b/>
          <w:bCs/>
          <w:color w:val="1A1A2E"/>
          <w:sz w:val="20"/>
          <w:szCs w:val="20"/>
        </w:rPr>
        <w:t xml:space="preserve">Intake Meeting (1–2 hrs): </w:t>
      </w:r>
      <w:r>
        <w:rPr>
          <w:rFonts w:ascii="Calibri" w:cs="Calibri" w:eastAsia="Calibri" w:hAnsi="Calibri"/>
          <w:b w:val="false"/>
          <w:bCs w:val="false"/>
          <w:color w:val="1A1A2E"/>
          <w:sz w:val="20"/>
          <w:szCs w:val="20"/>
        </w:rPr>
        <w:t xml:space="preserve">Faculty and instructional designer review the course, existing materials, NCCCS outcomes, and timeline. The course designer completes the Course Analysis Template.</w:t>
      </w:r>
    </w:p>
    <w:p>
      <w:pPr>
        <w:pStyle w:val="ListParagraph"/>
        <w:numPr>
          <w:ilvl w:val="0"/>
          <w:numId w:val="2"/>
        </w:numPr>
        <w:spacing w:before="22" w:after="22"/>
      </w:pPr>
      <w:r>
        <w:rPr>
          <w:rFonts w:ascii="Calibri" w:cs="Calibri" w:eastAsia="Calibri" w:hAnsi="Calibri"/>
          <w:b/>
          <w:bCs/>
          <w:color w:val="1A1A2E"/>
          <w:sz w:val="20"/>
          <w:szCs w:val="20"/>
        </w:rPr>
        <w:t xml:space="preserve">CLO Mapping (1–2 hrs faculty + 2–3 hrs ID): </w:t>
      </w:r>
      <w:r>
        <w:rPr>
          <w:rFonts w:ascii="Calibri" w:cs="Calibri" w:eastAsia="Calibri" w:hAnsi="Calibri"/>
          <w:b w:val="false"/>
          <w:bCs w:val="false"/>
          <w:color w:val="1A1A2E"/>
          <w:sz w:val="20"/>
          <w:szCs w:val="20"/>
        </w:rPr>
        <w:t xml:space="preserve">Faculty identifies 4 course learning outcomes. ID verifies Bloom's alignment and NCCCS compliance, then maps them to the 8-module framework.</w:t>
      </w:r>
    </w:p>
    <w:p>
      <w:pPr>
        <w:pStyle w:val="ListParagraph"/>
        <w:numPr>
          <w:ilvl w:val="0"/>
          <w:numId w:val="2"/>
        </w:numPr>
        <w:spacing w:before="22" w:after="22"/>
      </w:pPr>
      <w:r>
        <w:rPr>
          <w:rFonts w:ascii="Calibri" w:cs="Calibri" w:eastAsia="Calibri" w:hAnsi="Calibri"/>
          <w:b/>
          <w:bCs/>
          <w:color w:val="1A1A2E"/>
          <w:sz w:val="20"/>
          <w:szCs w:val="20"/>
        </w:rPr>
        <w:t xml:space="preserve">Module Planning (2–3 hrs faculty + 4–5 hrs ID): </w:t>
      </w:r>
      <w:r>
        <w:rPr>
          <w:rFonts w:ascii="Calibri" w:cs="Calibri" w:eastAsia="Calibri" w:hAnsi="Calibri"/>
          <w:b w:val="false"/>
          <w:bCs w:val="false"/>
          <w:color w:val="1A1A2E"/>
          <w:sz w:val="20"/>
          <w:szCs w:val="20"/>
        </w:rPr>
        <w:t xml:space="preserve">Faculty identifies textbook/OER content and key learning concepts per module. ID writes MLOs, selects IC 4 primary sources, designs LA structures.</w:t>
      </w:r>
    </w:p>
    <w:p>
      <w:pPr>
        <w:pStyle w:val="ListParagraph"/>
        <w:numPr>
          <w:ilvl w:val="0"/>
          <w:numId w:val="2"/>
        </w:numPr>
        <w:spacing w:before="22" w:after="22"/>
      </w:pPr>
      <w:r>
        <w:rPr>
          <w:rFonts w:ascii="Calibri" w:cs="Calibri" w:eastAsia="Calibri" w:hAnsi="Calibri"/>
          <w:b/>
          <w:bCs/>
          <w:color w:val="1A1A2E"/>
          <w:sz w:val="20"/>
          <w:szCs w:val="20"/>
        </w:rPr>
        <w:t xml:space="preserve">Assessment Design (2–3 hrs faculty + 3–4 hrs ID): </w:t>
      </w:r>
      <w:r>
        <w:rPr>
          <w:rFonts w:ascii="Calibri" w:cs="Calibri" w:eastAsia="Calibri" w:hAnsi="Calibri"/>
          <w:b w:val="false"/>
          <w:bCs w:val="false"/>
          <w:color w:val="1A1A2E"/>
          <w:sz w:val="20"/>
          <w:szCs w:val="20"/>
        </w:rPr>
        <w:t xml:space="preserve">Faculty drafts DB prompts and portfolio instructions. ID writes rubrics, quiz items, and verifies assessment-CLO alignment.</w:t>
      </w:r>
    </w:p>
    <w:p>
      <w:pPr>
        <w:pStyle w:val="ListParagraph"/>
        <w:numPr>
          <w:ilvl w:val="0"/>
          <w:numId w:val="2"/>
        </w:numPr>
        <w:spacing w:before="22" w:after="22"/>
      </w:pPr>
      <w:r>
        <w:rPr>
          <w:rFonts w:ascii="Calibri" w:cs="Calibri" w:eastAsia="Calibri" w:hAnsi="Calibri"/>
          <w:b/>
          <w:bCs/>
          <w:color w:val="1A1A2E"/>
          <w:sz w:val="20"/>
          <w:szCs w:val="20"/>
        </w:rPr>
        <w:t xml:space="preserve">Document Production (ID-led, 8–12 hrs): </w:t>
      </w:r>
      <w:r>
        <w:rPr>
          <w:rFonts w:ascii="Calibri" w:cs="Calibri" w:eastAsia="Calibri" w:hAnsi="Calibri"/>
          <w:b w:val="false"/>
          <w:bCs w:val="false"/>
          <w:color w:val="1A1A2E"/>
          <w:sz w:val="20"/>
          <w:szCs w:val="20"/>
        </w:rPr>
        <w:t xml:space="preserve">ID completes course map, teaching plan, and workload calculation. Faculty reviews and approves all documents.</w:t>
      </w:r>
    </w:p>
    <w:p>
      <w:pPr>
        <w:pStyle w:val="ListParagraph"/>
        <w:numPr>
          <w:ilvl w:val="0"/>
          <w:numId w:val="2"/>
        </w:numPr>
        <w:spacing w:before="22" w:after="22"/>
      </w:pPr>
      <w:r>
        <w:rPr>
          <w:rFonts w:ascii="Calibri" w:cs="Calibri" w:eastAsia="Calibri" w:hAnsi="Calibri"/>
          <w:b/>
          <w:bCs/>
          <w:color w:val="1A1A2E"/>
          <w:sz w:val="20"/>
          <w:szCs w:val="20"/>
        </w:rPr>
        <w:t xml:space="preserve">Canvas Build (ID-led, 8–12 hrs): </w:t>
      </w:r>
      <w:r>
        <w:rPr>
          <w:rFonts w:ascii="Calibri" w:cs="Calibri" w:eastAsia="Calibri" w:hAnsi="Calibri"/>
          <w:b w:val="false"/>
          <w:bCs w:val="false"/>
          <w:color w:val="1A1A2E"/>
          <w:sz w:val="20"/>
          <w:szCs w:val="20"/>
        </w:rPr>
        <w:t xml:space="preserve">ID builds Canvas shell from approved documents. Faculty reviews for accuracy and adds personal instructor voice.</w:t>
      </w:r>
    </w:p>
    <w:p>
      <w:pPr>
        <w:pStyle w:val="ListParagraph"/>
        <w:numPr>
          <w:ilvl w:val="0"/>
          <w:numId w:val="2"/>
        </w:numPr>
        <w:spacing w:before="22" w:after="22"/>
      </w:pPr>
      <w:r>
        <w:rPr>
          <w:rFonts w:ascii="Calibri" w:cs="Calibri" w:eastAsia="Calibri" w:hAnsi="Calibri"/>
          <w:b/>
          <w:bCs/>
          <w:color w:val="1A1A2E"/>
          <w:sz w:val="20"/>
          <w:szCs w:val="20"/>
        </w:rPr>
        <w:t xml:space="preserve">QM Self-Review (2–3 hrs faculty + 3–4 hrs ID): </w:t>
      </w:r>
      <w:r>
        <w:rPr>
          <w:rFonts w:ascii="Calibri" w:cs="Calibri" w:eastAsia="Calibri" w:hAnsi="Calibri"/>
          <w:b w:val="false"/>
          <w:bCs w:val="false"/>
          <w:color w:val="1A1A2E"/>
          <w:sz w:val="20"/>
          <w:szCs w:val="20"/>
        </w:rPr>
        <w:t xml:space="preserve">Both complete QM self-review against 22 Essential Standards. Revisions made as needed.</w:t>
      </w:r>
    </w:p>
    <w:p>
      <w:pPr>
        <w:pStyle w:val="ListParagraph"/>
        <w:numPr>
          <w:ilvl w:val="0"/>
          <w:numId w:val="2"/>
        </w:numPr>
        <w:spacing w:before="22" w:after="22"/>
      </w:pPr>
      <w:r>
        <w:rPr>
          <w:rFonts w:ascii="Calibri" w:cs="Calibri" w:eastAsia="Calibri" w:hAnsi="Calibri"/>
          <w:b/>
          <w:bCs/>
          <w:color w:val="1A1A2E"/>
          <w:sz w:val="20"/>
          <w:szCs w:val="20"/>
        </w:rPr>
        <w:t xml:space="preserve">Certification Submission (ID-led): </w:t>
      </w:r>
      <w:r>
        <w:rPr>
          <w:rFonts w:ascii="Calibri" w:cs="Calibri" w:eastAsia="Calibri" w:hAnsi="Calibri"/>
          <w:b w:val="false"/>
          <w:bCs w:val="false"/>
          <w:color w:val="1A1A2E"/>
          <w:sz w:val="20"/>
          <w:szCs w:val="20"/>
        </w:rPr>
        <w:t xml:space="preserve">Completed course map, teaching plan, and self-review submitted to HQCDP for certification. Faculty receives EXEMPLAR designation upon approval.</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1B5E20" w:sz="6"/>
              <w:left w:val="single" w:color="1B5E20" w:sz="16"/>
              <w:bottom w:val="single" w:color="1B5E20" w:sz="2"/>
              <w:right w:val="single" w:color="1B5E20" w:sz="2"/>
            </w:tcBorders>
            <w:shd w:fill="E8F5E9" w:val="clear"/>
            <w:tcMar>
              <w:top w:type="dxa" w:w="110"/>
              <w:left w:type="dxa" w:w="170"/>
              <w:bottom w:type="dxa" w:w="110"/>
              <w:right w:type="dxa" w:w="170"/>
            </w:tcMar>
          </w:tcPr>
          <w:p>
            <w:pPr>
              <w:spacing w:before="0" w:after="35"/>
            </w:pPr>
            <w:r>
              <w:rPr>
                <w:rFonts w:ascii="Calibri" w:cs="Calibri" w:eastAsia="Calibri" w:hAnsi="Calibri"/>
                <w:b/>
                <w:bCs/>
                <w:color w:val="1B5E20"/>
                <w:sz w:val="18"/>
                <w:szCs w:val="18"/>
              </w:rPr>
              <w:t xml:space="preserve">Your Time Investment</w:t>
            </w:r>
          </w:p>
          <w:p>
            <w:pPr>
              <w:spacing w:before="0" w:after="0"/>
            </w:pPr>
            <w:r>
              <w:rPr>
                <w:rFonts w:ascii="Calibri" w:cs="Calibri" w:eastAsia="Calibri" w:hAnsi="Calibri"/>
                <w:b w:val="false"/>
                <w:bCs w:val="false"/>
                <w:color w:val="1A1A2E"/>
                <w:sz w:val="19"/>
                <w:szCs w:val="19"/>
              </w:rPr>
              <w:t xml:space="preserve">Faculty time in the full HQCDP process: approximately 12–18 hours across 8–10 weeks. This is the subject expertise contribution — the decisions only you can make. Everything else is handled by your instructional design partner.</w:t>
            </w:r>
          </w:p>
        </w:tc>
      </w:tr>
    </w:tbl>
    <w:p/>
    <w:p>
      <w:pPr>
        <w:pBdr>
          <w:bottom w:val="single" w:color="C9A84C" w:sz="5" w:space="4"/>
        </w:pBdr>
        <w:spacing w:before="220" w:after="70"/>
      </w:pPr>
      <w:r>
        <w:rPr>
          <w:rFonts w:ascii="Calibri" w:cs="Calibri" w:eastAsia="Calibri" w:hAnsi="Calibri"/>
          <w:b/>
          <w:bCs/>
          <w:color w:val="1A3A5C"/>
          <w:sz w:val="26"/>
          <w:szCs w:val="26"/>
        </w:rPr>
        <w:t xml:space="preserve">Section 3: Faculty Needs Assessment</w:t>
      </w:r>
    </w:p>
    <w:p>
      <w:pPr>
        <w:spacing w:before="50" w:after="50"/>
      </w:pPr>
      <w:r>
        <w:rPr>
          <w:rFonts w:ascii="Calibri" w:cs="Calibri" w:eastAsia="Calibri" w:hAnsi="Calibri"/>
          <w:b w:val="false"/>
          <w:bCs w:val="false"/>
          <w:color w:val="1A1A2E"/>
          <w:sz w:val="20"/>
          <w:szCs w:val="20"/>
        </w:rPr>
        <w:t xml:space="preserve">Before beginning an HQCDP course build, your instructional designer will work through the following needs areas with you. Review this list and note any areas where you want additional support.</w:t>
      </w:r>
    </w:p>
    <w:p/>
    <w:p>
      <w:pPr>
        <w:spacing w:before="160" w:after="40"/>
      </w:pPr>
      <w:r>
        <w:rPr>
          <w:rFonts w:ascii="Calibri" w:cs="Calibri" w:eastAsia="Calibri" w:hAnsi="Calibri"/>
          <w:b/>
          <w:bCs/>
          <w:color w:val="2D7D9A"/>
          <w:sz w:val="22"/>
          <w:szCs w:val="22"/>
        </w:rPr>
        <w:t xml:space="preserve">Content &amp; Curriculum</w:t>
      </w:r>
    </w:p>
    <w:p>
      <w:pPr>
        <w:pStyle w:val="ListParagraph"/>
        <w:numPr>
          <w:ilvl w:val="0"/>
          <w:numId w:val="3"/>
        </w:numPr>
        <w:spacing w:before="22" w:after="22"/>
      </w:pPr>
      <w:r>
        <w:rPr>
          <w:rFonts w:ascii="Calibri" w:cs="Calibri" w:eastAsia="Calibri" w:hAnsi="Calibri"/>
          <w:b w:val="false"/>
          <w:bCs w:val="false"/>
          <w:color w:val="1A1A2E"/>
          <w:sz w:val="20"/>
          <w:szCs w:val="20"/>
        </w:rPr>
        <w:t xml:space="preserve">Do you have an existing course you are rebuilding, or are you starting from scratch?</w:t>
      </w:r>
    </w:p>
    <w:p>
      <w:pPr>
        <w:pStyle w:val="ListParagraph"/>
        <w:numPr>
          <w:ilvl w:val="0"/>
          <w:numId w:val="3"/>
        </w:numPr>
        <w:spacing w:before="22" w:after="22"/>
      </w:pPr>
      <w:r>
        <w:rPr>
          <w:rFonts w:ascii="Calibri" w:cs="Calibri" w:eastAsia="Calibri" w:hAnsi="Calibri"/>
          <w:b w:val="false"/>
          <w:bCs w:val="false"/>
          <w:color w:val="1A1A2E"/>
          <w:sz w:val="20"/>
          <w:szCs w:val="20"/>
        </w:rPr>
        <w:t xml:space="preserve">Is your textbook/OER already selected, or do you need recommendations?</w:t>
      </w:r>
    </w:p>
    <w:p>
      <w:pPr>
        <w:pStyle w:val="ListParagraph"/>
        <w:numPr>
          <w:ilvl w:val="0"/>
          <w:numId w:val="3"/>
        </w:numPr>
        <w:spacing w:before="22" w:after="22"/>
      </w:pPr>
      <w:r>
        <w:rPr>
          <w:rFonts w:ascii="Calibri" w:cs="Calibri" w:eastAsia="Calibri" w:hAnsi="Calibri"/>
          <w:b w:val="false"/>
          <w:bCs w:val="false"/>
          <w:color w:val="1A1A2E"/>
          <w:sz w:val="20"/>
          <w:szCs w:val="20"/>
        </w:rPr>
        <w:t xml:space="preserve">Are your NCCCS-mandated outcomes documented, or do we need to pull them from the Combined Course Library?</w:t>
      </w:r>
    </w:p>
    <w:p>
      <w:pPr>
        <w:pStyle w:val="ListParagraph"/>
        <w:numPr>
          <w:ilvl w:val="0"/>
          <w:numId w:val="3"/>
        </w:numPr>
        <w:spacing w:before="22" w:after="22"/>
      </w:pPr>
      <w:r>
        <w:rPr>
          <w:rFonts w:ascii="Calibri" w:cs="Calibri" w:eastAsia="Calibri" w:hAnsi="Calibri"/>
          <w:b w:val="false"/>
          <w:bCs w:val="false"/>
          <w:color w:val="1A1A2E"/>
          <w:sz w:val="20"/>
          <w:szCs w:val="20"/>
        </w:rPr>
        <w:t xml:space="preserve">Do you have existing assessments (quizzes, projects) you want to preserve or adapt?</w:t>
      </w:r>
    </w:p>
    <w:p/>
    <w:p>
      <w:pPr>
        <w:spacing w:before="160" w:after="40"/>
      </w:pPr>
      <w:r>
        <w:rPr>
          <w:rFonts w:ascii="Calibri" w:cs="Calibri" w:eastAsia="Calibri" w:hAnsi="Calibri"/>
          <w:b/>
          <w:bCs/>
          <w:color w:val="2D7D9A"/>
          <w:sz w:val="22"/>
          <w:szCs w:val="22"/>
        </w:rPr>
        <w:t xml:space="preserve">Technology</w:t>
      </w:r>
    </w:p>
    <w:p>
      <w:pPr>
        <w:pStyle w:val="ListParagraph"/>
        <w:numPr>
          <w:ilvl w:val="0"/>
          <w:numId w:val="3"/>
        </w:numPr>
        <w:spacing w:before="22" w:after="22"/>
      </w:pPr>
      <w:r>
        <w:rPr>
          <w:rFonts w:ascii="Calibri" w:cs="Calibri" w:eastAsia="Calibri" w:hAnsi="Calibri"/>
          <w:b w:val="false"/>
          <w:bCs w:val="false"/>
          <w:color w:val="1A1A2E"/>
          <w:sz w:val="20"/>
          <w:szCs w:val="20"/>
        </w:rPr>
        <w:t xml:space="preserve">Are you comfortable in Canvas, or do you need a Canvas orientation before we build?</w:t>
      </w:r>
    </w:p>
    <w:p>
      <w:pPr>
        <w:pStyle w:val="ListParagraph"/>
        <w:numPr>
          <w:ilvl w:val="0"/>
          <w:numId w:val="3"/>
        </w:numPr>
        <w:spacing w:before="22" w:after="22"/>
      </w:pPr>
      <w:r>
        <w:rPr>
          <w:rFonts w:ascii="Calibri" w:cs="Calibri" w:eastAsia="Calibri" w:hAnsi="Calibri"/>
          <w:b w:val="false"/>
          <w:bCs w:val="false"/>
          <w:color w:val="1A1A2E"/>
          <w:sz w:val="20"/>
          <w:szCs w:val="20"/>
        </w:rPr>
        <w:t xml:space="preserve">Have you used Canvas New Quizzes, or will you need training on the auto-gradable activity types?</w:t>
      </w:r>
    </w:p>
    <w:p>
      <w:pPr>
        <w:pStyle w:val="ListParagraph"/>
        <w:numPr>
          <w:ilvl w:val="0"/>
          <w:numId w:val="3"/>
        </w:numPr>
        <w:spacing w:before="22" w:after="22"/>
      </w:pPr>
      <w:r>
        <w:rPr>
          <w:rFonts w:ascii="Calibri" w:cs="Calibri" w:eastAsia="Calibri" w:hAnsi="Calibri"/>
          <w:b w:val="false"/>
          <w:bCs w:val="false"/>
          <w:color w:val="1A1A2E"/>
          <w:sz w:val="20"/>
          <w:szCs w:val="20"/>
        </w:rPr>
        <w:t xml:space="preserve">Do you have existing course content (PDFs, videos, slides) that needs to be migrated or reformatted?</w:t>
      </w:r>
    </w:p>
    <w:p/>
    <w:p>
      <w:pPr>
        <w:spacing w:before="160" w:after="40"/>
      </w:pPr>
      <w:r>
        <w:rPr>
          <w:rFonts w:ascii="Calibri" w:cs="Calibri" w:eastAsia="Calibri" w:hAnsi="Calibri"/>
          <w:b/>
          <w:bCs/>
          <w:color w:val="2D7D9A"/>
          <w:sz w:val="22"/>
          <w:szCs w:val="22"/>
        </w:rPr>
        <w:t xml:space="preserve">QM &amp; Compliance</w:t>
      </w:r>
    </w:p>
    <w:p>
      <w:pPr>
        <w:pStyle w:val="ListParagraph"/>
        <w:numPr>
          <w:ilvl w:val="0"/>
          <w:numId w:val="3"/>
        </w:numPr>
        <w:spacing w:before="22" w:after="22"/>
      </w:pPr>
      <w:r>
        <w:rPr>
          <w:rFonts w:ascii="Calibri" w:cs="Calibri" w:eastAsia="Calibri" w:hAnsi="Calibri"/>
          <w:b w:val="false"/>
          <w:bCs w:val="false"/>
          <w:color w:val="1A1A2E"/>
          <w:sz w:val="20"/>
          <w:szCs w:val="20"/>
        </w:rPr>
        <w:t xml:space="preserve">Have you completed any QM training, or will this be your first QM-aligned course?</w:t>
      </w:r>
    </w:p>
    <w:p>
      <w:pPr>
        <w:pStyle w:val="ListParagraph"/>
        <w:numPr>
          <w:ilvl w:val="0"/>
          <w:numId w:val="3"/>
        </w:numPr>
        <w:spacing w:before="22" w:after="22"/>
      </w:pPr>
      <w:r>
        <w:rPr>
          <w:rFonts w:ascii="Calibri" w:cs="Calibri" w:eastAsia="Calibri" w:hAnsi="Calibri"/>
          <w:b w:val="false"/>
          <w:bCs w:val="false"/>
          <w:color w:val="1A1A2E"/>
          <w:sz w:val="20"/>
          <w:szCs w:val="20"/>
        </w:rPr>
        <w:t xml:space="preserve">Are you familiar with RSI requirements, or do you want a brief orientation before we begin?</w:t>
      </w:r>
    </w:p>
    <w:p>
      <w:pPr>
        <w:pStyle w:val="ListParagraph"/>
        <w:numPr>
          <w:ilvl w:val="0"/>
          <w:numId w:val="3"/>
        </w:numPr>
        <w:spacing w:before="22" w:after="22"/>
      </w:pPr>
      <w:r>
        <w:rPr>
          <w:rFonts w:ascii="Calibri" w:cs="Calibri" w:eastAsia="Calibri" w:hAnsi="Calibri"/>
          <w:b w:val="false"/>
          <w:bCs w:val="false"/>
          <w:color w:val="1A1A2E"/>
          <w:sz w:val="20"/>
          <w:szCs w:val="20"/>
        </w:rPr>
        <w:t xml:space="preserve">Does your course have any accessibility considerations we should build in from the start?</w:t>
      </w:r>
    </w:p>
    <w:p/>
    <w:p>
      <w:pPr>
        <w:spacing w:before="160" w:after="40"/>
      </w:pPr>
      <w:r>
        <w:rPr>
          <w:rFonts w:ascii="Calibri" w:cs="Calibri" w:eastAsia="Calibri" w:hAnsi="Calibri"/>
          <w:b/>
          <w:bCs/>
          <w:color w:val="2D7D9A"/>
          <w:sz w:val="22"/>
          <w:szCs w:val="22"/>
        </w:rPr>
        <w:t xml:space="preserve">AI Tools</w:t>
      </w:r>
    </w:p>
    <w:p>
      <w:pPr>
        <w:pStyle w:val="ListParagraph"/>
        <w:numPr>
          <w:ilvl w:val="0"/>
          <w:numId w:val="3"/>
        </w:numPr>
        <w:spacing w:before="22" w:after="22"/>
      </w:pPr>
      <w:r>
        <w:rPr>
          <w:rFonts w:ascii="Calibri" w:cs="Calibri" w:eastAsia="Calibri" w:hAnsi="Calibri"/>
          <w:b w:val="false"/>
          <w:bCs w:val="false"/>
          <w:color w:val="1A1A2E"/>
          <w:sz w:val="20"/>
          <w:szCs w:val="20"/>
        </w:rPr>
        <w:t xml:space="preserve">Are you currently using any AI tools in your teaching or course prep?</w:t>
      </w:r>
    </w:p>
    <w:p>
      <w:pPr>
        <w:pStyle w:val="ListParagraph"/>
        <w:numPr>
          <w:ilvl w:val="0"/>
          <w:numId w:val="3"/>
        </w:numPr>
        <w:spacing w:before="22" w:after="22"/>
      </w:pPr>
      <w:r>
        <w:rPr>
          <w:rFonts w:ascii="Calibri" w:cs="Calibri" w:eastAsia="Calibri" w:hAnsi="Calibri"/>
          <w:b w:val="false"/>
          <w:bCs w:val="false"/>
          <w:color w:val="1A1A2E"/>
          <w:sz w:val="20"/>
          <w:szCs w:val="20"/>
        </w:rPr>
        <w:t xml:space="preserve">Do you have questions about what AI use is and isn't appropriate in your course or in our design process?</w:t>
      </w:r>
    </w:p>
    <w:p>
      <w:pPr>
        <w:pStyle w:val="ListParagraph"/>
        <w:numPr>
          <w:ilvl w:val="0"/>
          <w:numId w:val="3"/>
        </w:numPr>
        <w:spacing w:before="22" w:after="22"/>
      </w:pPr>
      <w:r>
        <w:rPr>
          <w:rFonts w:ascii="Calibri" w:cs="Calibri" w:eastAsia="Calibri" w:hAnsi="Calibri"/>
          <w:b w:val="false"/>
          <w:bCs w:val="false"/>
          <w:color w:val="1A1A2E"/>
          <w:sz w:val="20"/>
          <w:szCs w:val="20"/>
        </w:rPr>
        <w:t xml:space="preserve">Would you like to learn how to use AI tools yourself for ongoing course maintenance after initial build?</w:t>
      </w:r>
    </w:p>
    <w:p/>
    <w:p>
      <w:pPr>
        <w:pBdr>
          <w:bottom w:val="single" w:color="C9A84C" w:sz="5" w:space="4"/>
        </w:pBdr>
        <w:spacing w:before="220" w:after="70"/>
      </w:pPr>
      <w:r>
        <w:rPr>
          <w:rFonts w:ascii="Calibri" w:cs="Calibri" w:eastAsia="Calibri" w:hAnsi="Calibri"/>
          <w:b/>
          <w:bCs/>
          <w:color w:val="1A3A5C"/>
          <w:sz w:val="26"/>
          <w:szCs w:val="26"/>
        </w:rPr>
        <w:t xml:space="preserve">Section 4: Professional Development Pathway</w:t>
      </w:r>
    </w:p>
    <w:p>
      <w:pPr>
        <w:spacing w:before="50" w:after="50"/>
      </w:pPr>
      <w:r>
        <w:rPr>
          <w:rFonts w:ascii="Calibri" w:cs="Calibri" w:eastAsia="Calibri" w:hAnsi="Calibri"/>
          <w:b w:val="false"/>
          <w:bCs w:val="false"/>
          <w:color w:val="1A1A2E"/>
          <w:sz w:val="20"/>
          <w:szCs w:val="20"/>
        </w:rPr>
        <w:t xml:space="preserve">The HQCDP offers a progression from partnership support to independent mastery. Faculty can enter at any level.</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2200"/>
        <w:gridCol w:w="3000"/>
        <w:gridCol w:w="2760"/>
      </w:tblGrid>
      <w:tr>
        <w:tc>
          <w:tcPr>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pPr>
              <w:jc w:val="center"/>
            </w:pPr>
            <w:r>
              <w:rPr>
                <w:rFonts w:ascii="Calibri" w:cs="Calibri" w:eastAsia="Calibri" w:hAnsi="Calibri"/>
                <w:b/>
                <w:bCs/>
                <w:color w:val="FFFFFF"/>
                <w:sz w:val="18"/>
                <w:szCs w:val="18"/>
              </w:rPr>
              <w:t xml:space="preserve">Level</w:t>
            </w:r>
          </w:p>
        </w:tc>
        <w:tc>
          <w:tcPr>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pPr>
              <w:jc w:val="center"/>
            </w:pPr>
            <w:r>
              <w:rPr>
                <w:rFonts w:ascii="Calibri" w:cs="Calibri" w:eastAsia="Calibri" w:hAnsi="Calibri"/>
                <w:b/>
                <w:bCs/>
                <w:color w:val="FFFFFF"/>
                <w:sz w:val="18"/>
                <w:szCs w:val="18"/>
              </w:rPr>
              <w:t xml:space="preserve">Name</w:t>
            </w:r>
          </w:p>
        </w:tc>
        <w:tc>
          <w:tcPr>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pPr>
              <w:jc w:val="center"/>
            </w:pPr>
            <w:r>
              <w:rPr>
                <w:rFonts w:ascii="Calibri" w:cs="Calibri" w:eastAsia="Calibri" w:hAnsi="Calibri"/>
                <w:b/>
                <w:bCs/>
                <w:color w:val="FFFFFF"/>
                <w:sz w:val="18"/>
                <w:szCs w:val="18"/>
              </w:rPr>
              <w:t xml:space="preserve">What You Learn</w:t>
            </w:r>
          </w:p>
        </w:tc>
        <w:tc>
          <w:tcPr>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pPr>
              <w:jc w:val="center"/>
            </w:pPr>
            <w:r>
              <w:rPr>
                <w:rFonts w:ascii="Calibri" w:cs="Calibri" w:eastAsia="Calibri" w:hAnsi="Calibri"/>
                <w:b/>
                <w:bCs/>
                <w:color w:val="FFFFFF"/>
                <w:sz w:val="18"/>
                <w:szCs w:val="18"/>
              </w:rPr>
              <w:t xml:space="preserve">Outcome</w:t>
            </w:r>
          </w:p>
        </w:tc>
      </w:tr>
      <w:tr>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Level 1</w:t>
            </w:r>
          </w:p>
        </w:tc>
        <w:tc>
          <w:tcPr>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HQCDP Partner</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The Model Course Structure, QM Essential Standards, your course's CLOs and MLOs</w:t>
            </w:r>
          </w:p>
        </w:tc>
        <w:tc>
          <w:tcPr>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First QM-certified course; HQCDP Partner designation</w:t>
            </w:r>
          </w:p>
        </w:tc>
      </w:tr>
      <w:tr>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Level 2</w:t>
            </w:r>
          </w:p>
        </w:tc>
        <w:tc>
          <w:tcPr>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HQCDP Practitioner</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How to build your own course map and teaching plan; workload calculation; Canvas build skills</w:t>
            </w:r>
          </w:p>
        </w:tc>
        <w:tc>
          <w:tcPr>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Independent course builds with ID consultation; HQCDP Practitioner designation</w:t>
            </w:r>
          </w:p>
        </w:tc>
      </w:tr>
      <w:tr>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Level 3</w:t>
            </w:r>
          </w:p>
        </w:tc>
        <w:tc>
          <w:tcPr>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HQCDP Mentor</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How to peer-review other faculty's course maps; QM reviewer preparation; AI tool integration</w:t>
            </w:r>
          </w:p>
        </w:tc>
        <w:tc>
          <w:tcPr>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Peer review capability; QM course reviewer track; HQCDP Mentor designation</w:t>
            </w:r>
          </w:p>
        </w:tc>
      </w:tr>
      <w:tr>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Level 4</w:t>
            </w:r>
          </w:p>
        </w:tc>
        <w:tc>
          <w:tcPr>
            <w:tcBorders>
              <w:top w:val="single" w:color="CCCCCC" w:sz="1"/>
              <w:left w:val="single" w:color="CCCCCC" w:sz="1"/>
              <w:bottom w:val="single" w:color="CCCCCC" w:sz="1"/>
              <w:right w:val="single" w:color="CCCCCC" w:sz="1"/>
            </w:tcBorders>
            <w:shd w:fill="FDF5E0"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QM Reviewer</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External QM peer review certification</w:t>
            </w:r>
          </w:p>
        </w:tc>
        <w:tc>
          <w:tcPr>
            <w:tcBorders>
              <w:top w:val="single" w:color="CCCCCC" w:sz="1"/>
              <w:left w:val="single" w:color="CCCCCC" w:sz="1"/>
              <w:bottom w:val="single" w:color="CCCCCC" w:sz="1"/>
              <w:right w:val="single" w:color="CCCCCC" w:sz="1"/>
            </w:tcBorders>
            <w:shd w:fill="FDF5E0"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Official QM Peer Reviewer; HQCDP Exemplar Faculty</w:t>
            </w:r>
          </w:p>
        </w:tc>
      </w:tr>
    </w:tbl>
    <w:p/>
    <w:p>
      <w:pPr>
        <w:pBdr>
          <w:bottom w:val="single" w:color="C9A84C" w:sz="5" w:space="4"/>
        </w:pBdr>
        <w:spacing w:before="220" w:after="70"/>
      </w:pPr>
      <w:r>
        <w:rPr>
          <w:rFonts w:ascii="Calibri" w:cs="Calibri" w:eastAsia="Calibri" w:hAnsi="Calibri"/>
          <w:b/>
          <w:bCs/>
          <w:color w:val="1A3A5C"/>
          <w:sz w:val="26"/>
          <w:szCs w:val="26"/>
        </w:rPr>
        <w:t xml:space="preserve">Section 5: The Cohort Model</w:t>
      </w:r>
    </w:p>
    <w:p>
      <w:pPr>
        <w:spacing w:before="50" w:after="50"/>
      </w:pPr>
      <w:r>
        <w:rPr>
          <w:rFonts w:ascii="Calibri" w:cs="Calibri" w:eastAsia="Calibri" w:hAnsi="Calibri"/>
          <w:b w:val="false"/>
          <w:bCs w:val="false"/>
          <w:color w:val="1A1A2E"/>
          <w:sz w:val="20"/>
          <w:szCs w:val="20"/>
        </w:rPr>
        <w:t xml:space="preserve">HQCDP course builds are organized into semester cohorts of 4–6 faculty. Cohort structure serves multiple purposes: shared learning, peer accountability, consistent timelines, and efficient use of instructional design resources.</w:t>
      </w:r>
    </w:p>
    <w:p/>
    <w:p>
      <w:pPr>
        <w:spacing w:before="160" w:after="40"/>
      </w:pPr>
      <w:r>
        <w:rPr>
          <w:rFonts w:ascii="Calibri" w:cs="Calibri" w:eastAsia="Calibri" w:hAnsi="Calibri"/>
          <w:b/>
          <w:bCs/>
          <w:color w:val="2D7D9A"/>
          <w:sz w:val="22"/>
          <w:szCs w:val="22"/>
        </w:rPr>
        <w:t xml:space="preserve">Cohort Calendar (16-week semester)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400"/>
        <w:gridCol w:w="5760"/>
      </w:tblGrid>
      <w:tr>
        <w:tc>
          <w:tcPr>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pPr>
              <w:jc w:val="center"/>
            </w:pPr>
            <w:r>
              <w:rPr>
                <w:rFonts w:ascii="Calibri" w:cs="Calibri" w:eastAsia="Calibri" w:hAnsi="Calibri"/>
                <w:b/>
                <w:bCs/>
                <w:color w:val="FFFFFF"/>
                <w:sz w:val="18"/>
                <w:szCs w:val="18"/>
              </w:rPr>
              <w:t xml:space="preserve">Weeks</w:t>
            </w:r>
          </w:p>
        </w:tc>
        <w:tc>
          <w:tcPr>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pPr>
              <w:jc w:val="center"/>
            </w:pPr>
            <w:r>
              <w:rPr>
                <w:rFonts w:ascii="Calibri" w:cs="Calibri" w:eastAsia="Calibri" w:hAnsi="Calibri"/>
                <w:b/>
                <w:bCs/>
                <w:color w:val="FFFFFF"/>
                <w:sz w:val="18"/>
                <w:szCs w:val="18"/>
              </w:rPr>
              <w:t xml:space="preserve">Milestone</w:t>
            </w:r>
          </w:p>
        </w:tc>
        <w:tc>
          <w:tcPr>
            <w:tcBorders>
              <w:top w:val="single" w:color="CCCCCC" w:sz="1"/>
              <w:left w:val="single" w:color="CCCCCC" w:sz="1"/>
              <w:bottom w:val="single" w:color="CCCCCC" w:sz="1"/>
              <w:right w:val="single" w:color="CCCCCC" w:sz="1"/>
            </w:tcBorders>
            <w:shd w:fill="1A3A5C" w:val="clear"/>
            <w:tcMar>
              <w:top w:type="dxa" w:w="80"/>
              <w:left w:type="dxa" w:w="120"/>
              <w:bottom w:type="dxa" w:w="80"/>
              <w:right w:type="dxa" w:w="120"/>
            </w:tcMar>
          </w:tcPr>
          <w:p>
            <w:pPr>
              <w:jc w:val="center"/>
            </w:pPr>
            <w:r>
              <w:rPr>
                <w:rFonts w:ascii="Calibri" w:cs="Calibri" w:eastAsia="Calibri" w:hAnsi="Calibri"/>
                <w:b/>
                <w:bCs/>
                <w:color w:val="FFFFFF"/>
                <w:sz w:val="18"/>
                <w:szCs w:val="18"/>
              </w:rPr>
              <w:t xml:space="preserve">Faculty + ID Activity</w:t>
            </w:r>
          </w:p>
        </w:tc>
      </w:tr>
      <w:tr>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1–2</w:t>
            </w:r>
          </w:p>
        </w:tc>
        <w:tc>
          <w:tcPr>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Intake &amp; CLO Mapping</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Individual intake meetings; Course Analysis completed; CLOs mapped</w:t>
            </w:r>
          </w:p>
        </w:tc>
      </w:tr>
      <w:tr>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3–5</w:t>
            </w:r>
          </w:p>
        </w:tc>
        <w:tc>
          <w:tcPr>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Module Planning</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Module structure, IC content, and LA design finalized for all 8 modules</w:t>
            </w:r>
          </w:p>
        </w:tc>
      </w:tr>
      <w:tr>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6–8</w:t>
            </w:r>
          </w:p>
        </w:tc>
        <w:tc>
          <w:tcPr>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Assessment Design</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DB prompts, portfolio instructions, quiz banks, and rubrics completed</w:t>
            </w:r>
          </w:p>
        </w:tc>
      </w:tr>
      <w:tr>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9–11</w:t>
            </w:r>
          </w:p>
        </w:tc>
        <w:tc>
          <w:tcPr>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Document Production</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Course map, teaching plan, and workload calculation completed and faculty-approved</w:t>
            </w:r>
          </w:p>
        </w:tc>
      </w:tr>
      <w:tr>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12–14</w:t>
            </w:r>
          </w:p>
        </w:tc>
        <w:tc>
          <w:tcPr>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Canvas Build</w:t>
            </w:r>
          </w:p>
        </w:tc>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Canvas shell built; faculty review and add instructor voice; accessibility check</w:t>
            </w:r>
          </w:p>
        </w:tc>
      </w:tr>
      <w:tr>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15</w:t>
            </w:r>
          </w:p>
        </w:tc>
        <w:tc>
          <w:tcPr>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QM Self-Review</w:t>
            </w:r>
          </w:p>
        </w:tc>
        <w:tc>
          <w:tcPr>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22-standard self-review completed; revisions made</w:t>
            </w:r>
          </w:p>
        </w:tc>
      </w:tr>
      <w:tr>
        <w:tc>
          <w:tcPr>
            <w:tcBorders>
              <w:top w:val="single" w:color="CCCCCC" w:sz="1"/>
              <w:left w:val="single" w:color="CCCCCC" w:sz="1"/>
              <w:bottom w:val="single" w:color="CCCCCC" w:sz="1"/>
              <w:right w:val="single" w:color="CCCCCC" w:sz="1"/>
            </w:tcBorders>
            <w:shd w:fill="F5F7FA"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16</w:t>
            </w:r>
          </w:p>
        </w:tc>
        <w:tc>
          <w:tcPr>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Certification</w:t>
            </w:r>
          </w:p>
        </w:tc>
        <w:tc>
          <w:tcPr>
            <w:tcBorders>
              <w:top w:val="single" w:color="CCCCCC" w:sz="1"/>
              <w:left w:val="single" w:color="CCCCCC" w:sz="1"/>
              <w:bottom w:val="single" w:color="CCCCCC" w:sz="1"/>
              <w:right w:val="single" w:color="CCCCCC" w:sz="1"/>
            </w:tcBorders>
            <w:shd w:fill="E8F5E9" w:val="clear"/>
            <w:tcMar>
              <w:top w:type="dxa" w:w="80"/>
              <w:left w:type="dxa" w:w="120"/>
              <w:bottom w:type="dxa" w:w="80"/>
              <w:right w:type="dxa" w:w="120"/>
            </w:tcMar>
          </w:tcPr>
          <w:p>
            <w:r>
              <w:rPr>
                <w:rFonts w:ascii="Calibri" w:cs="Calibri" w:eastAsia="Calibri" w:hAnsi="Calibri"/>
                <w:b w:val="false"/>
                <w:bCs w:val="false"/>
                <w:color w:val="1A1A2E"/>
                <w:sz w:val="19"/>
                <w:szCs w:val="19"/>
              </w:rPr>
              <w:t xml:space="preserve">Submitted to HQCDP committee; EXEMPLAR designation awarded</w:t>
            </w:r>
          </w:p>
        </w:tc>
      </w:tr>
    </w:tbl>
    <w:p/>
    <w:p>
      <w:pPr>
        <w:spacing w:before="160" w:after="40"/>
      </w:pPr>
      <w:r>
        <w:rPr>
          <w:rFonts w:ascii="Calibri" w:cs="Calibri" w:eastAsia="Calibri" w:hAnsi="Calibri"/>
          <w:b/>
          <w:bCs/>
          <w:color w:val="2D7D9A"/>
          <w:sz w:val="22"/>
          <w:szCs w:val="22"/>
        </w:rPr>
        <w:t xml:space="preserve">Cohort Community of Practice</w:t>
      </w:r>
    </w:p>
    <w:p>
      <w:pPr>
        <w:pStyle w:val="ListParagraph"/>
        <w:numPr>
          <w:ilvl w:val="0"/>
          <w:numId w:val="3"/>
        </w:numPr>
        <w:spacing w:before="22" w:after="22"/>
      </w:pPr>
      <w:r>
        <w:rPr>
          <w:rFonts w:ascii="Calibri" w:cs="Calibri" w:eastAsia="Calibri" w:hAnsi="Calibri"/>
          <w:b w:val="false"/>
          <w:bCs w:val="false"/>
          <w:color w:val="1A1A2E"/>
          <w:sz w:val="20"/>
          <w:szCs w:val="20"/>
        </w:rPr>
        <w:t xml:space="preserve">Monthly check-in (1 hr): Cohort members share progress, challenges, and peer feedback</w:t>
      </w:r>
    </w:p>
    <w:p>
      <w:pPr>
        <w:pStyle w:val="ListParagraph"/>
        <w:numPr>
          <w:ilvl w:val="0"/>
          <w:numId w:val="3"/>
        </w:numPr>
        <w:spacing w:before="22" w:after="22"/>
      </w:pPr>
      <w:r>
        <w:rPr>
          <w:rFonts w:ascii="Calibri" w:cs="Calibri" w:eastAsia="Calibri" w:hAnsi="Calibri"/>
          <w:b w:val="false"/>
          <w:bCs w:val="false"/>
          <w:color w:val="1A1A2E"/>
          <w:sz w:val="20"/>
          <w:szCs w:val="20"/>
        </w:rPr>
        <w:t xml:space="preserve">Shared resource library: All templates, examples, and tools available to the full cohort</w:t>
      </w:r>
    </w:p>
    <w:p>
      <w:pPr>
        <w:pStyle w:val="ListParagraph"/>
        <w:numPr>
          <w:ilvl w:val="0"/>
          <w:numId w:val="3"/>
        </w:numPr>
        <w:spacing w:before="22" w:after="22"/>
      </w:pPr>
      <w:r>
        <w:rPr>
          <w:rFonts w:ascii="Calibri" w:cs="Calibri" w:eastAsia="Calibri" w:hAnsi="Calibri"/>
          <w:b w:val="false"/>
          <w:bCs w:val="false"/>
          <w:color w:val="1A1A2E"/>
          <w:sz w:val="20"/>
          <w:szCs w:val="20"/>
        </w:rPr>
        <w:t xml:space="preserve">Peer review pairing: Level 3+ faculty provide peer review of Level 1–2 course maps before certification</w:t>
      </w:r>
    </w:p>
    <w:p>
      <w:pPr>
        <w:pStyle w:val="ListParagraph"/>
        <w:numPr>
          <w:ilvl w:val="0"/>
          <w:numId w:val="3"/>
        </w:numPr>
        <w:spacing w:before="22" w:after="22"/>
      </w:pPr>
      <w:r>
        <w:rPr>
          <w:rFonts w:ascii="Calibri" w:cs="Calibri" w:eastAsia="Calibri" w:hAnsi="Calibri"/>
          <w:b w:val="false"/>
          <w:bCs w:val="false"/>
          <w:color w:val="1A1A2E"/>
          <w:sz w:val="20"/>
          <w:szCs w:val="20"/>
        </w:rPr>
        <w:t xml:space="preserve">Post-build reflection: Cohort documents lessons learned for future cohort improvement</w:t>
      </w:r>
    </w:p>
    <w:p/>
    <w:p>
      <w:pPr>
        <w:pBdr>
          <w:bottom w:val="single" w:color="C9A84C" w:sz="5" w:space="4"/>
        </w:pBdr>
        <w:spacing w:before="220" w:after="70"/>
      </w:pPr>
      <w:r>
        <w:rPr>
          <w:rFonts w:ascii="Calibri" w:cs="Calibri" w:eastAsia="Calibri" w:hAnsi="Calibri"/>
          <w:b/>
          <w:bCs/>
          <w:color w:val="1A3A5C"/>
          <w:sz w:val="26"/>
          <w:szCs w:val="26"/>
        </w:rPr>
        <w:t xml:space="preserve">Section 6: Using AI Tools in Your Own Teaching</w:t>
      </w:r>
    </w:p>
    <w:p>
      <w:pPr>
        <w:spacing w:before="50" w:after="50"/>
      </w:pPr>
      <w:r>
        <w:rPr>
          <w:rFonts w:ascii="Calibri" w:cs="Calibri" w:eastAsia="Calibri" w:hAnsi="Calibri"/>
          <w:b w:val="false"/>
          <w:bCs w:val="false"/>
          <w:color w:val="1A1A2E"/>
          <w:sz w:val="20"/>
          <w:szCs w:val="20"/>
        </w:rPr>
        <w:t xml:space="preserve">Once your HQCDP course is built, you may want to use AI tools for ongoing course maintenance and teaching. Here are clear guidelines aligned with QM standards and FTCC's academic integrity expectations.</w:t>
      </w:r>
    </w:p>
    <w:p/>
    <w:p>
      <w:pPr>
        <w:spacing w:before="160" w:after="40"/>
      </w:pPr>
      <w:r>
        <w:rPr>
          <w:rFonts w:ascii="Calibri" w:cs="Calibri" w:eastAsia="Calibri" w:hAnsi="Calibri"/>
          <w:b/>
          <w:bCs/>
          <w:color w:val="2D7D9A"/>
          <w:sz w:val="22"/>
          <w:szCs w:val="22"/>
        </w:rPr>
        <w:t xml:space="preserve">Appropriate uses for your teaching:</w:t>
      </w:r>
    </w:p>
    <w:p>
      <w:pPr>
        <w:pStyle w:val="ListParagraph"/>
        <w:numPr>
          <w:ilvl w:val="0"/>
          <w:numId w:val="3"/>
        </w:numPr>
        <w:spacing w:before="22" w:after="22"/>
      </w:pPr>
      <w:r>
        <w:rPr>
          <w:rFonts w:ascii="Calibri" w:cs="Calibri" w:eastAsia="Calibri" w:hAnsi="Calibri"/>
          <w:b w:val="false"/>
          <w:bCs w:val="false"/>
          <w:color w:val="1A1A2E"/>
          <w:sz w:val="20"/>
          <w:szCs w:val="20"/>
        </w:rPr>
        <w:t xml:space="preserve">Drafting announcement text, feedback templates, and course communications</w:t>
      </w:r>
    </w:p>
    <w:p>
      <w:pPr>
        <w:pStyle w:val="ListParagraph"/>
        <w:numPr>
          <w:ilvl w:val="0"/>
          <w:numId w:val="3"/>
        </w:numPr>
        <w:spacing w:before="22" w:after="22"/>
      </w:pPr>
      <w:r>
        <w:rPr>
          <w:rFonts w:ascii="Calibri" w:cs="Calibri" w:eastAsia="Calibri" w:hAnsi="Calibri"/>
          <w:b w:val="false"/>
          <w:bCs w:val="false"/>
          <w:color w:val="1A1A2E"/>
          <w:sz w:val="20"/>
          <w:szCs w:val="20"/>
        </w:rPr>
        <w:t xml:space="preserve">Generating additional practice questions or activities for supplemental student support</w:t>
      </w:r>
    </w:p>
    <w:p>
      <w:pPr>
        <w:pStyle w:val="ListParagraph"/>
        <w:numPr>
          <w:ilvl w:val="0"/>
          <w:numId w:val="3"/>
        </w:numPr>
        <w:spacing w:before="22" w:after="22"/>
      </w:pPr>
      <w:r>
        <w:rPr>
          <w:rFonts w:ascii="Calibri" w:cs="Calibri" w:eastAsia="Calibri" w:hAnsi="Calibri"/>
          <w:b w:val="false"/>
          <w:bCs w:val="false"/>
          <w:color w:val="1A1A2E"/>
          <w:sz w:val="20"/>
          <w:szCs w:val="20"/>
        </w:rPr>
        <w:t xml:space="preserve">Creating alternative explanations or examples of concepts students are struggling with</w:t>
      </w:r>
    </w:p>
    <w:p>
      <w:pPr>
        <w:pStyle w:val="ListParagraph"/>
        <w:numPr>
          <w:ilvl w:val="0"/>
          <w:numId w:val="3"/>
        </w:numPr>
        <w:spacing w:before="22" w:after="22"/>
      </w:pPr>
      <w:r>
        <w:rPr>
          <w:rFonts w:ascii="Calibri" w:cs="Calibri" w:eastAsia="Calibri" w:hAnsi="Calibri"/>
          <w:b w:val="false"/>
          <w:bCs w:val="false"/>
          <w:color w:val="1A1A2E"/>
          <w:sz w:val="20"/>
          <w:szCs w:val="20"/>
        </w:rPr>
        <w:t xml:space="preserve">Summarizing student feedback patterns to inform course improvements</w:t>
      </w:r>
    </w:p>
    <w:p>
      <w:pPr>
        <w:pStyle w:val="ListParagraph"/>
        <w:numPr>
          <w:ilvl w:val="0"/>
          <w:numId w:val="3"/>
        </w:numPr>
        <w:spacing w:before="22" w:after="22"/>
      </w:pPr>
      <w:r>
        <w:rPr>
          <w:rFonts w:ascii="Calibri" w:cs="Calibri" w:eastAsia="Calibri" w:hAnsi="Calibri"/>
          <w:b w:val="false"/>
          <w:bCs w:val="false"/>
          <w:color w:val="1A1A2E"/>
          <w:sz w:val="20"/>
          <w:szCs w:val="20"/>
        </w:rPr>
        <w:t xml:space="preserve">Building course-specific study guides or review materials</w:t>
      </w:r>
    </w:p>
    <w:p/>
    <w:p>
      <w:pPr>
        <w:spacing w:before="160" w:after="40"/>
      </w:pPr>
      <w:r>
        <w:rPr>
          <w:rFonts w:ascii="Calibri" w:cs="Calibri" w:eastAsia="Calibri" w:hAnsi="Calibri"/>
          <w:b/>
          <w:bCs/>
          <w:color w:val="2D7D9A"/>
          <w:sz w:val="22"/>
          <w:szCs w:val="22"/>
        </w:rPr>
        <w:t xml:space="preserve">Always do after using AI for teaching materials:</w:t>
      </w:r>
    </w:p>
    <w:p>
      <w:pPr>
        <w:pStyle w:val="ListParagraph"/>
        <w:numPr>
          <w:ilvl w:val="0"/>
          <w:numId w:val="3"/>
        </w:numPr>
        <w:spacing w:before="22" w:after="22"/>
      </w:pPr>
      <w:r>
        <w:rPr>
          <w:rFonts w:ascii="Calibri" w:cs="Calibri" w:eastAsia="Calibri" w:hAnsi="Calibri"/>
          <w:b w:val="false"/>
          <w:bCs w:val="false"/>
          <w:color w:val="1A1A2E"/>
          <w:sz w:val="20"/>
          <w:szCs w:val="20"/>
        </w:rPr>
        <w:t xml:space="preserve">Verify factual accuracy — AI can confidently produce incorrect information</w:t>
      </w:r>
    </w:p>
    <w:p>
      <w:pPr>
        <w:pStyle w:val="ListParagraph"/>
        <w:numPr>
          <w:ilvl w:val="0"/>
          <w:numId w:val="3"/>
        </w:numPr>
        <w:spacing w:before="22" w:after="22"/>
      </w:pPr>
      <w:r>
        <w:rPr>
          <w:rFonts w:ascii="Calibri" w:cs="Calibri" w:eastAsia="Calibri" w:hAnsi="Calibri"/>
          <w:b w:val="false"/>
          <w:bCs w:val="false"/>
          <w:color w:val="1A1A2E"/>
          <w:sz w:val="20"/>
          <w:szCs w:val="20"/>
        </w:rPr>
        <w:t xml:space="preserve">Check that the output reflects your course's specific CLOs and context</w:t>
      </w:r>
    </w:p>
    <w:p>
      <w:pPr>
        <w:pStyle w:val="ListParagraph"/>
        <w:numPr>
          <w:ilvl w:val="0"/>
          <w:numId w:val="3"/>
        </w:numPr>
        <w:spacing w:before="22" w:after="22"/>
      </w:pPr>
      <w:r>
        <w:rPr>
          <w:rFonts w:ascii="Calibri" w:cs="Calibri" w:eastAsia="Calibri" w:hAnsi="Calibri"/>
          <w:b w:val="false"/>
          <w:bCs w:val="false"/>
          <w:color w:val="1A1A2E"/>
          <w:sz w:val="20"/>
          <w:szCs w:val="20"/>
        </w:rPr>
        <w:t xml:space="preserve">Edit for your instructor voice — generic AI text is recognizable and reduces instructor presence</w:t>
      </w:r>
    </w:p>
    <w:p>
      <w:pPr>
        <w:pStyle w:val="ListParagraph"/>
        <w:numPr>
          <w:ilvl w:val="0"/>
          <w:numId w:val="3"/>
        </w:numPr>
        <w:spacing w:before="22" w:after="22"/>
      </w:pPr>
      <w:r>
        <w:rPr>
          <w:rFonts w:ascii="Calibri" w:cs="Calibri" w:eastAsia="Calibri" w:hAnsi="Calibri"/>
          <w:b w:val="false"/>
          <w:bCs w:val="false"/>
          <w:color w:val="1A1A2E"/>
          <w:sz w:val="20"/>
          <w:szCs w:val="20"/>
        </w:rPr>
        <w:t xml:space="preserve">Follow attribution guidance if AI-generated content appears in student-facing materials (QM SRS 4.3)</w:t>
      </w:r>
    </w:p>
    <w:p/>
    <w:p>
      <w:pPr>
        <w:spacing w:before="160" w:after="40"/>
      </w:pPr>
      <w:r>
        <w:rPr>
          <w:rFonts w:ascii="Calibri" w:cs="Calibri" w:eastAsia="Calibri" w:hAnsi="Calibri"/>
          <w:b/>
          <w:bCs/>
          <w:color w:val="2D7D9A"/>
          <w:sz w:val="22"/>
          <w:szCs w:val="22"/>
        </w:rPr>
        <w:t xml:space="preserve">Communicate clearly with students about AI in your course:</w:t>
      </w:r>
    </w:p>
    <w:p>
      <w:pPr>
        <w:pStyle w:val="ListParagraph"/>
        <w:numPr>
          <w:ilvl w:val="0"/>
          <w:numId w:val="3"/>
        </w:numPr>
        <w:spacing w:before="22" w:after="22"/>
      </w:pPr>
      <w:r>
        <w:rPr>
          <w:rFonts w:ascii="Calibri" w:cs="Calibri" w:eastAsia="Calibri" w:hAnsi="Calibri"/>
          <w:b w:val="false"/>
          <w:bCs w:val="false"/>
          <w:color w:val="1A1A2E"/>
          <w:sz w:val="20"/>
          <w:szCs w:val="20"/>
        </w:rPr>
        <w:t xml:space="preserve">Your syllabus should state clearly whether students may use AI tools, for what purposes, and how</w:t>
      </w:r>
    </w:p>
    <w:p>
      <w:pPr>
        <w:pStyle w:val="ListParagraph"/>
        <w:numPr>
          <w:ilvl w:val="0"/>
          <w:numId w:val="3"/>
        </w:numPr>
        <w:spacing w:before="22" w:after="22"/>
      </w:pPr>
      <w:r>
        <w:rPr>
          <w:rFonts w:ascii="Calibri" w:cs="Calibri" w:eastAsia="Calibri" w:hAnsi="Calibri"/>
          <w:b w:val="false"/>
          <w:bCs w:val="false"/>
          <w:color w:val="1A1A2E"/>
          <w:sz w:val="20"/>
          <w:szCs w:val="20"/>
        </w:rPr>
        <w:t xml:space="preserve">QM recommends providing this in introductory course materials and carrying it through assessment instructions</w:t>
      </w:r>
    </w:p>
    <w:p>
      <w:pPr>
        <w:pStyle w:val="ListParagraph"/>
        <w:numPr>
          <w:ilvl w:val="0"/>
          <w:numId w:val="3"/>
        </w:numPr>
        <w:spacing w:before="22" w:after="22"/>
      </w:pPr>
      <w:r>
        <w:rPr>
          <w:rFonts w:ascii="Calibri" w:cs="Calibri" w:eastAsia="Calibri" w:hAnsi="Calibri"/>
          <w:b w:val="false"/>
          <w:bCs w:val="false"/>
          <w:color w:val="1A1A2E"/>
          <w:sz w:val="20"/>
          <w:szCs w:val="20"/>
        </w:rPr>
        <w:t xml:space="preserve">If you are unsure what policy to adopt, consult with your instructional designer — we can help you draft course-specific AI guidelines</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9A84C" w:sz="6"/>
              <w:left w:val="single" w:color="C9A84C" w:sz="16"/>
              <w:bottom w:val="single" w:color="C9A84C" w:sz="2"/>
              <w:right w:val="single" w:color="C9A84C" w:sz="2"/>
            </w:tcBorders>
            <w:shd w:fill="FDF5E0" w:val="clear"/>
            <w:tcMar>
              <w:top w:type="dxa" w:w="110"/>
              <w:left w:type="dxa" w:w="170"/>
              <w:bottom w:type="dxa" w:w="110"/>
              <w:right w:type="dxa" w:w="170"/>
            </w:tcMar>
          </w:tcPr>
          <w:p>
            <w:pPr>
              <w:spacing w:before="0" w:after="35"/>
            </w:pPr>
            <w:r>
              <w:rPr>
                <w:rFonts w:ascii="Calibri" w:cs="Calibri" w:eastAsia="Calibri" w:hAnsi="Calibri"/>
                <w:b/>
                <w:bCs/>
                <w:color w:val="C9A84C"/>
                <w:sz w:val="18"/>
                <w:szCs w:val="18"/>
              </w:rPr>
              <w:t xml:space="preserve">The Guiding Principle</w:t>
            </w:r>
          </w:p>
          <w:p>
            <w:pPr>
              <w:spacing w:before="0" w:after="0"/>
            </w:pPr>
            <w:r>
              <w:rPr>
                <w:rFonts w:ascii="Calibri" w:cs="Calibri" w:eastAsia="Calibri" w:hAnsi="Calibri"/>
                <w:b w:val="false"/>
                <w:bCs w:val="false"/>
                <w:color w:val="1A1A2E"/>
                <w:sz w:val="19"/>
                <w:szCs w:val="19"/>
              </w:rPr>
              <w:t xml:space="preserve">QM's Core Principle #1 for AI integration: "Use AI to enhance, not replace, human connection and critical thinking." Everything else follows from that. If an AI tool is helping you be more present and responsive to your students, use it. If it is substituting for your professional judgment, step back.</w:t>
            </w:r>
          </w:p>
        </w:tc>
      </w:tr>
    </w:tbl>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bullet"/>
      <w:lvlText w:val="◦"/>
      <w:lvlJc w:val="left"/>
      <w:pPr>
        <w:ind w:left="1080" w:hanging="360"/>
      </w:pPr>
    </w:lvl>
  </w:abstractNum>
  <w:abstractNum w:abstractNumId="5" w15:restartNumberingAfterBreak="0">
    <w:multiLevelType w:val="hybridMultilevel"/>
    <w:lvl w:ilvl="0" w15:tentative="1">
      <w:start w:val="1"/>
      <w:numFmt w:val="decimal"/>
      <w:lvlText w:val="%1."/>
      <w:lvlJc w:val="left"/>
      <w:pPr>
        <w:ind w:left="1080"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2026-03-17T16:11:59.267Z</dcterms:created>
  <dcterms:modified xsi:type="dcterms:W3CDTF">2026-03-17T16:11:59.267Z</dcterms:modified>
</cp:coreProperties>
</file>

<file path=docProps/custom.xml><?xml version="1.0" encoding="utf-8"?>
<Properties xmlns="http://schemas.openxmlformats.org/officeDocument/2006/custom-properties" xmlns:vt="http://schemas.openxmlformats.org/officeDocument/2006/docPropsVTypes"/>
</file>