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3A5C" w:val="clear"/>
            <w:tcMar>
              <w:top w:type="dxa" w:w="160"/>
              <w:left w:type="dxa" w:w="200"/>
              <w:bottom w:type="dxa" w:w="160"/>
              <w:right w:type="dxa" w:w="200"/>
            </w:tcMar>
          </w:tcPr>
          <w:p>
            <w:pPr>
              <w:jc w:val="center"/>
            </w:pPr>
            <w:r>
              <w:rPr>
                <w:rFonts w:ascii="Calibri" w:cs="Calibri" w:eastAsia="Calibri" w:hAnsi="Calibri"/>
                <w:b/>
                <w:bCs/>
                <w:color w:val="FFFFFF"/>
                <w:sz w:val="18"/>
                <w:szCs w:val="18"/>
              </w:rPr>
              <w:t xml:space="preserve">FAYETTEVILLE TECHNICAL COMMUNITY COLLEGE</w:t>
            </w:r>
          </w:p>
          <w:p>
            <w:pPr>
              <w:spacing w:before="20" w:after="0"/>
              <w:jc w:val="center"/>
            </w:pPr>
            <w:r>
              <w:rPr>
                <w:rFonts w:ascii="Calibri" w:cs="Calibri" w:eastAsia="Calibri" w:hAnsi="Calibri"/>
                <w:b w:val="false"/>
                <w:bCs w:val="false"/>
                <w:color w:val="D5E8F0"/>
                <w:sz w:val="15"/>
                <w:szCs w:val="15"/>
              </w:rPr>
              <w:t xml:space="preserve">HIGH-QUALITY COURSE DESIGN PROGRAM  •  INSTRUCTIONAL SUPPORT &amp; QUALITY ASSURANCE</w:t>
            </w:r>
          </w:p>
        </w:tc>
      </w:tr>
    </w:tbl>
    <w:p>
      <w:pPr>
        <w:spacing w:before="120" w:after="20"/>
        <w:jc w:val="center"/>
      </w:pPr>
      <w:r>
        <w:rPr>
          <w:rFonts w:ascii="Georgia" w:cs="Georgia" w:eastAsia="Georgia" w:hAnsi="Georgia"/>
          <w:b/>
          <w:bCs/>
          <w:color w:val="1A3A5C"/>
          <w:sz w:val="40"/>
          <w:szCs w:val="40"/>
        </w:rPr>
        <w:t xml:space="preserve">Professional Position Statement</w:t>
      </w:r>
    </w:p>
    <w:p>
      <w:pPr>
        <w:spacing w:before="0" w:after="30"/>
        <w:jc w:val="center"/>
      </w:pPr>
      <w:r>
        <w:rPr>
          <w:rFonts w:ascii="Georgia" w:cs="Georgia" w:eastAsia="Georgia" w:hAnsi="Georgia"/>
          <w:b/>
          <w:bCs/>
          <w:color w:val="2D7D9A"/>
          <w:sz w:val="24"/>
          <w:szCs w:val="24"/>
        </w:rPr>
        <w:t xml:space="preserve">AI-Assisted Instructional Design as Legitimate Professional Practice</w:t>
      </w:r>
    </w:p>
    <w:p>
      <w:pPr>
        <w:spacing w:before="0" w:after="60"/>
        <w:jc w:val="center"/>
      </w:pPr>
      <w:r>
        <w:rPr>
          <w:rFonts w:ascii="Calibri" w:cs="Calibri" w:eastAsia="Calibri" w:hAnsi="Calibri"/>
          <w:b w:val="false"/>
          <w:bCs w:val="false"/>
          <w:color w:val="64748B"/>
          <w:sz w:val="17"/>
          <w:szCs w:val="17"/>
        </w:rPr>
        <w:t xml:space="preserve">Angela Westmoreland, M.Ed.  |  FTCC Instructional Support &amp; Quality Assurance Analyst  |  Spring 2026</w:t>
      </w:r>
    </w:p>
    <w:p>
      <w:pPr>
        <w:pBdr>
          <w:bottom w:val="single" w:color="C9A84C" w:sz="4" w:space="1"/>
        </w:pBdr>
        <w:spacing w:before="80" w:after="80"/>
      </w:pPr>
    </w:p>
    <w:p>
      <w:pPr>
        <w:spacing w:before="60" w:after="80"/>
      </w:pPr>
      <w:r>
        <w:rPr>
          <w:rFonts w:ascii="Calibri" w:cs="Calibri" w:eastAsia="Calibri" w:hAnsi="Calibri"/>
          <w:b w:val="false"/>
          <w:bCs w:val="false"/>
          <w:color w:val="1A1A2E"/>
          <w:sz w:val="20"/>
          <w:szCs w:val="20"/>
        </w:rPr>
        <w:t xml:space="preserve">This statement addresses the professional and ethical standing of AI-assisted instructional design within the FTCC High-Quality Course Design Program. It is offered proactively to ensure accurate understanding of both the process used and the professional consensus that supports it — including the explicit, documented position of Quality Matters, whose standards govern this program.</w:t>
      </w:r>
    </w:p>
    <w:p>
      <w:pPr>
        <w:pBdr>
          <w:bottom w:val="single" w:color="2D7D9A" w:sz="4" w:space="1"/>
        </w:pBdr>
        <w:spacing w:before="80" w:after="80"/>
      </w:pPr>
    </w:p>
    <w:p>
      <w:pPr>
        <w:pBdr>
          <w:bottom w:val="single" w:color="C9A84C" w:sz="5" w:space="4"/>
        </w:pBdr>
        <w:spacing w:before="220" w:after="70"/>
      </w:pPr>
      <w:r>
        <w:rPr>
          <w:rFonts w:ascii="Calibri" w:cs="Calibri" w:eastAsia="Calibri" w:hAnsi="Calibri"/>
          <w:b/>
          <w:bCs/>
          <w:color w:val="1A3A5C"/>
          <w:sz w:val="26"/>
          <w:szCs w:val="26"/>
        </w:rPr>
        <w:t xml:space="preserve">I. The Distinction That Matters: Augmentation vs. Automation</w:t>
      </w:r>
    </w:p>
    <w:p>
      <w:pPr>
        <w:spacing w:before="60" w:after="40"/>
      </w:pPr>
      <w:r>
        <w:rPr>
          <w:rFonts w:ascii="Calibri" w:cs="Calibri" w:eastAsia="Calibri" w:hAnsi="Calibri"/>
          <w:b w:val="false"/>
          <w:bCs w:val="false"/>
          <w:color w:val="1A1A2E"/>
          <w:sz w:val="20"/>
          <w:szCs w:val="20"/>
        </w:rPr>
        <w:t xml:space="preserve">There is a professionally recognized distinction between two fundamentally different uses of AI in educational design contexts: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single" w:color="CCCCCC" w:sz="1"/>
              <w:left w:val="single" w:color="CCCCCC" w:sz="1"/>
              <w:bottom w:val="single" w:color="CCCCCC" w:sz="1"/>
              <w:right w:val="single" w:color="CCCCCC" w:sz="1"/>
            </w:tcBorders>
            <w:shd w:fill="F5F7FA" w:val="clear"/>
            <w:tcMar>
              <w:top w:type="dxa" w:w="100"/>
              <w:left w:type="dxa" w:w="140"/>
              <w:bottom w:type="dxa" w:w="100"/>
              <w:right w:type="dxa" w:w="140"/>
            </w:tcMar>
          </w:tcPr>
          <w:p>
            <w:pPr>
              <w:spacing w:before="0" w:after="50"/>
            </w:pPr>
            <w:r>
              <w:rPr>
                <w:rFonts w:ascii="Calibri" w:cs="Calibri" w:eastAsia="Calibri" w:hAnsi="Calibri"/>
                <w:b/>
                <w:bCs/>
                <w:color w:val="C62828"/>
                <w:sz w:val="20"/>
                <w:szCs w:val="20"/>
              </w:rPr>
              <w:t xml:space="preserve">AI Automation</w:t>
            </w:r>
          </w:p>
          <w:p>
            <w:pPr>
              <w:spacing w:before="0" w:after="0"/>
            </w:pPr>
            <w:r>
              <w:rPr>
                <w:rFonts w:ascii="Calibri" w:cs="Calibri" w:eastAsia="Calibri" w:hAnsi="Calibri"/>
                <w:b w:val="false"/>
                <w:bCs w:val="false"/>
                <w:color w:val="1A1A2E"/>
                <w:sz w:val="19"/>
                <w:szCs w:val="19"/>
              </w:rPr>
              <w:t xml:space="preserve">A faculty member inputs a course name and accepts whatever AI produces. No professional judgment applied. No verification. No alignment check. The AI makes all decisions.</w:t>
            </w:r>
          </w:p>
        </w:tc>
        <w:tc>
          <w:tcPr>
            <w:tcBorders>
              <w:top w:val="single" w:color="CCCCCC" w:sz="1"/>
              <w:left w:val="single" w:color="CCCCCC" w:sz="1"/>
              <w:bottom w:val="single" w:color="CCCCCC" w:sz="1"/>
              <w:right w:val="single" w:color="CCCCCC" w:sz="1"/>
            </w:tcBorders>
            <w:shd w:fill="E8F5E9" w:val="clear"/>
            <w:tcMar>
              <w:top w:type="dxa" w:w="100"/>
              <w:left w:type="dxa" w:w="140"/>
              <w:bottom w:type="dxa" w:w="100"/>
              <w:right w:type="dxa" w:w="140"/>
            </w:tcMar>
          </w:tcPr>
          <w:p>
            <w:pPr>
              <w:spacing w:before="0" w:after="50"/>
            </w:pPr>
            <w:r>
              <w:rPr>
                <w:rFonts w:ascii="Calibri" w:cs="Calibri" w:eastAsia="Calibri" w:hAnsi="Calibri"/>
                <w:b/>
                <w:bCs/>
                <w:color w:val="1B5E20"/>
                <w:sz w:val="20"/>
                <w:szCs w:val="20"/>
              </w:rPr>
              <w:t xml:space="preserve">AI Augmentation  ←  This Program</w:t>
            </w:r>
          </w:p>
          <w:p>
            <w:pPr>
              <w:spacing w:before="0" w:after="0"/>
            </w:pPr>
            <w:r>
              <w:rPr>
                <w:rFonts w:ascii="Calibri" w:cs="Calibri" w:eastAsia="Calibri" w:hAnsi="Calibri"/>
                <w:b w:val="false"/>
                <w:bCs w:val="false"/>
                <w:color w:val="1A1A2E"/>
                <w:sz w:val="19"/>
                <w:szCs w:val="19"/>
              </w:rPr>
              <w:t xml:space="preserve">A credentialed instructional designer makes all pedagogical decisions, uses AI to execute document production efficiently, and verifies every output against professional standards. Human expertise drives every outcome.</w:t>
            </w:r>
          </w:p>
        </w:tc>
      </w:tr>
    </w:tbl>
    <w:p/>
    <w:p>
      <w:pPr>
        <w:spacing w:before="60" w:after="80"/>
      </w:pPr>
      <w:r>
        <w:rPr>
          <w:rFonts w:ascii="Calibri" w:cs="Calibri" w:eastAsia="Calibri" w:hAnsi="Calibri"/>
          <w:b w:val="false"/>
          <w:bCs w:val="false"/>
          <w:color w:val="1A1A2E"/>
          <w:sz w:val="20"/>
          <w:szCs w:val="20"/>
        </w:rPr>
        <w:t xml:space="preserve">The HQCDP work falls unambiguously in the augmentation category. Every instructional decision was made by a human expert with 20+ years of experience and four QM certifications. AI produced documents. It did not make decisions.</w:t>
      </w:r>
    </w:p>
    <w:p>
      <w:pPr>
        <w:pBdr>
          <w:bottom w:val="single" w:color="C9A84C" w:sz="5" w:space="4"/>
        </w:pBdr>
        <w:spacing w:before="220" w:after="70"/>
      </w:pPr>
      <w:r>
        <w:rPr>
          <w:rFonts w:ascii="Calibri" w:cs="Calibri" w:eastAsia="Calibri" w:hAnsi="Calibri"/>
          <w:b/>
          <w:bCs/>
          <w:color w:val="1A3A5C"/>
          <w:sz w:val="26"/>
          <w:szCs w:val="26"/>
        </w:rPr>
        <w:t xml:space="preserve">II. Quality Matters' Explicit, Documented Position</w:t>
      </w:r>
    </w:p>
    <w:p>
      <w:pPr>
        <w:spacing w:before="60" w:after="60"/>
      </w:pPr>
      <w:r>
        <w:rPr>
          <w:rFonts w:ascii="Calibri" w:cs="Calibri" w:eastAsia="Calibri" w:hAnsi="Calibri"/>
          <w:b w:val="false"/>
          <w:bCs w:val="false"/>
          <w:color w:val="1A1A2E"/>
          <w:sz w:val="20"/>
          <w:szCs w:val="20"/>
        </w:rPr>
        <w:t xml:space="preserve">The most directly relevant professional authority is Quality Matters — the organization whose 7th Edition Rubric governs the HQCDP. Their 2025 AI Integration Toolkit (published under CC BY-NC-SA 4.0, available at qualitymatters.org) states their position in unambiguous terms across all four sections: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1B5E20" w:sz="6"/>
              <w:left w:val="single" w:color="1B5E20" w:sz="16"/>
              <w:bottom w:val="single" w:color="1B5E20" w:sz="2"/>
              <w:right w:val="single" w:color="1B5E20" w:sz="2"/>
            </w:tcBorders>
            <w:shd w:fill="E8F5E9" w:val="clear"/>
            <w:tcMar>
              <w:top w:type="dxa" w:w="110"/>
              <w:left w:type="dxa" w:w="170"/>
              <w:bottom w:type="dxa" w:w="110"/>
              <w:right w:type="dxa" w:w="170"/>
            </w:tcMar>
          </w:tcPr>
          <w:p>
            <w:pPr>
              <w:spacing w:before="0" w:after="35"/>
            </w:pPr>
            <w:r>
              <w:rPr>
                <w:rFonts w:ascii="Calibri" w:cs="Calibri" w:eastAsia="Calibri" w:hAnsi="Calibri"/>
                <w:b/>
                <w:bCs/>
                <w:color w:val="1B5E20"/>
                <w:sz w:val="18"/>
                <w:szCs w:val="18"/>
              </w:rPr>
              <w:t xml:space="preserve">QM's Disclosed Practice — Verified on Page 2 of All Four Toolkit Sections</w:t>
            </w:r>
          </w:p>
          <w:p>
            <w:pPr>
              <w:spacing w:before="0" w:after="0"/>
            </w:pPr>
            <w:r>
              <w:rPr>
                <w:rFonts w:ascii="Calibri" w:cs="Calibri" w:eastAsia="Calibri" w:hAnsi="Calibri"/>
                <w:b w:val="false"/>
                <w:bCs w:val="false"/>
                <w:color w:val="1A1A2E"/>
                <w:sz w:val="19"/>
                <w:szCs w:val="19"/>
              </w:rPr>
              <w:t xml:space="preserve">"From March 5 - July 18, 2025 Claude 3.7 Sonnet AI was used iteratively as one of many thought partners in the development of this toolkit. All output provided by this tool has been reviewed and significantly edited, amended, and expanded by QM experts and advisors throughout the development process."</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A Toolkit from Quality Matters [Sections I–IV, p. 2 each]. CC BY-NC-SA 4.0.</w:t>
            </w:r>
          </w:p>
        </w:tc>
      </w:tr>
    </w:tbl>
    <w:p/>
    <w:p>
      <w:pPr>
        <w:spacing w:before="60" w:after="80"/>
      </w:pPr>
      <w:r>
        <w:rPr>
          <w:rFonts w:ascii="Calibri" w:cs="Calibri" w:eastAsia="Calibri" w:hAnsi="Calibri"/>
          <w:b w:val="false"/>
          <w:bCs w:val="false"/>
          <w:color w:val="1A1A2E"/>
          <w:sz w:val="20"/>
          <w:szCs w:val="20"/>
        </w:rPr>
        <w:t xml:space="preserve">Quality Matters used Claude — the same AI tool used in the HQCDP — to build their official guidance on AI ethics in education. They disclosed this in every section and called it appropriate professional practice. This is not background context. It is the governing body's own documented standard.</w:t>
      </w:r>
    </w:p>
    <w:p>
      <w:pPr>
        <w:spacing w:before="160" w:after="40"/>
      </w:pPr>
      <w:r>
        <w:rPr>
          <w:rFonts w:ascii="Calibri" w:cs="Calibri" w:eastAsia="Calibri" w:hAnsi="Calibri"/>
          <w:b/>
          <w:bCs/>
          <w:color w:val="2D7D9A"/>
          <w:sz w:val="22"/>
          <w:szCs w:val="22"/>
        </w:rPr>
        <w:t xml:space="preserve">What QM Says About AI in Instructional Design</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0"/>
            </w:pPr>
            <w:r>
              <w:rPr>
                <w:rFonts w:ascii="Calibri" w:cs="Calibri" w:eastAsia="Calibri" w:hAnsi="Calibri"/>
                <w:b w:val="false"/>
                <w:bCs w:val="false"/>
                <w:color w:val="1A1A2E"/>
                <w:sz w:val="19"/>
                <w:szCs w:val="19"/>
              </w:rPr>
              <w:t xml:space="preserve">"AI can significantly improve the efficiency with which institutions develop content that is closely aligned with the curriculum and course objectives, but requires careful oversight to maintain quality." — QM AI Integration Toolkit, Section III (2025), citing Fang &amp; Broussard (2024)</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Section III — AI-Integration Support for Instructional Design Staff (p. 9), citing: Fang, B., &amp; Broussard, K. (2024). Augmented Course Design: Using AI to Boost Efficiency and Expand Capacity. EDUCAUSE Review.</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0"/>
            </w:pPr>
            <w:r>
              <w:rPr>
                <w:rFonts w:ascii="Calibri" w:cs="Calibri" w:eastAsia="Calibri" w:hAnsi="Calibri"/>
                <w:b w:val="false"/>
                <w:bCs w:val="false"/>
                <w:color w:val="1A1A2E"/>
                <w:sz w:val="19"/>
                <w:szCs w:val="19"/>
              </w:rPr>
              <w:t xml:space="preserve">"Research shows that AI in education is transforming various dimensions of the education system... making strategic integration essential for maintaining academic integrity and supporting authentic student learning outcomes." — QM AI Integration Toolkit, Executive Summary (all sections, 2025)</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Toolkit Executive Summary (p. 2, all sections). CC BY-NC-SA 4.0.</w:t>
            </w:r>
          </w:p>
        </w:tc>
      </w:tr>
    </w:tbl>
    <w:p/>
    <w:p>
      <w:pPr>
        <w:pStyle w:val="ListParagraph"/>
        <w:numPr>
          <w:ilvl w:val="0"/>
          <w:numId w:val="2"/>
        </w:numPr>
        <w:spacing w:before="22" w:after="22"/>
      </w:pPr>
      <w:r>
        <w:rPr>
          <w:rFonts w:ascii="Calibri" w:cs="Calibri" w:eastAsia="Calibri" w:hAnsi="Calibri"/>
          <w:b/>
          <w:bCs/>
          <w:color w:val="1A1A2E"/>
          <w:sz w:val="20"/>
          <w:szCs w:val="20"/>
        </w:rPr>
        <w:t xml:space="preserve">QM Core Principle #1 (Section I, p. 3): </w:t>
      </w:r>
      <w:r>
        <w:rPr>
          <w:rFonts w:ascii="Calibri" w:cs="Calibri" w:eastAsia="Calibri" w:hAnsi="Calibri"/>
          <w:b w:val="false"/>
          <w:bCs w:val="false"/>
          <w:color w:val="1A1A2E"/>
          <w:sz w:val="20"/>
          <w:szCs w:val="20"/>
        </w:rPr>
        <w:t xml:space="preserve">"Use AI to enhance, not replace, human connection and critical thinking" — this is exactly how AI was used in the HQCDP</w:t>
      </w:r>
    </w:p>
    <w:p>
      <w:pPr>
        <w:pStyle w:val="ListParagraph"/>
        <w:numPr>
          <w:ilvl w:val="0"/>
          <w:numId w:val="2"/>
        </w:numPr>
        <w:spacing w:before="22" w:after="22"/>
      </w:pPr>
      <w:r>
        <w:rPr>
          <w:rFonts w:ascii="Calibri" w:cs="Calibri" w:eastAsia="Calibri" w:hAnsi="Calibri"/>
          <w:b/>
          <w:bCs/>
          <w:color w:val="1A1A2E"/>
          <w:sz w:val="20"/>
          <w:szCs w:val="20"/>
        </w:rPr>
        <w:t xml:space="preserve">QM Core Principle #5 (Section I, p. 3): </w:t>
      </w:r>
      <w:r>
        <w:rPr>
          <w:rFonts w:ascii="Calibri" w:cs="Calibri" w:eastAsia="Calibri" w:hAnsi="Calibri"/>
          <w:b w:val="false"/>
          <w:bCs w:val="false"/>
          <w:color w:val="1A1A2E"/>
          <w:sz w:val="20"/>
          <w:szCs w:val="20"/>
        </w:rPr>
        <w:t xml:space="preserve">"Demonstrate flexibility to evolve with technological advancement" — using current professional tools is an expectation, not a deviation</w:t>
      </w:r>
    </w:p>
    <w:p>
      <w:pPr>
        <w:pStyle w:val="ListParagraph"/>
        <w:numPr>
          <w:ilvl w:val="0"/>
          <w:numId w:val="2"/>
        </w:numPr>
        <w:spacing w:before="22" w:after="22"/>
      </w:pPr>
      <w:r>
        <w:rPr>
          <w:rFonts w:ascii="Calibri" w:cs="Calibri" w:eastAsia="Calibri" w:hAnsi="Calibri"/>
          <w:b/>
          <w:bCs/>
          <w:color w:val="1A1A2E"/>
          <w:sz w:val="20"/>
          <w:szCs w:val="20"/>
        </w:rPr>
        <w:t xml:space="preserve">QM AI Integration Rubric (Section III): </w:t>
      </w:r>
      <w:r>
        <w:rPr>
          <w:rFonts w:ascii="Calibri" w:cs="Calibri" w:eastAsia="Calibri" w:hAnsi="Calibri"/>
          <w:b w:val="false"/>
          <w:bCs w:val="false"/>
          <w:color w:val="1A1A2E"/>
          <w:sz w:val="20"/>
          <w:szCs w:val="20"/>
        </w:rPr>
        <w:t xml:space="preserve">Explicitly addresses "AI used to develop course materials and activities" as a supported use case requiring verification, attribution, and oversight — not prohibition</w:t>
      </w:r>
    </w:p>
    <w:p>
      <w:pPr>
        <w:pStyle w:val="ListParagraph"/>
        <w:numPr>
          <w:ilvl w:val="0"/>
          <w:numId w:val="2"/>
        </w:numPr>
        <w:spacing w:before="22" w:after="22"/>
      </w:pPr>
      <w:r>
        <w:rPr>
          <w:rFonts w:ascii="Calibri" w:cs="Calibri" w:eastAsia="Calibri" w:hAnsi="Calibri"/>
          <w:b/>
          <w:bCs/>
          <w:color w:val="1A1A2E"/>
          <w:sz w:val="20"/>
          <w:szCs w:val="20"/>
        </w:rPr>
        <w:t xml:space="preserve">QM Professional Development: </w:t>
      </w:r>
      <w:r>
        <w:rPr>
          <w:rFonts w:ascii="Calibri" w:cs="Calibri" w:eastAsia="Calibri" w:hAnsi="Calibri"/>
          <w:b w:val="false"/>
          <w:bCs w:val="false"/>
          <w:color w:val="1A1A2E"/>
          <w:sz w:val="20"/>
          <w:szCs w:val="20"/>
        </w:rPr>
        <w:t xml:space="preserve">QM offers 'Leveraging AI for Course Design (LGAI)' and 'Transforming Curriculum with AI (TCGAI)' workshops training faculty and designers to do exactly what this program has done (Section II, pp. 8–10)</w:t>
      </w:r>
    </w:p>
    <w:p/>
    <w:p>
      <w:pPr>
        <w:pBdr>
          <w:bottom w:val="single" w:color="C9A84C" w:sz="5" w:space="4"/>
        </w:pBdr>
        <w:spacing w:before="220" w:after="70"/>
      </w:pPr>
      <w:r>
        <w:rPr>
          <w:rFonts w:ascii="Calibri" w:cs="Calibri" w:eastAsia="Calibri" w:hAnsi="Calibri"/>
          <w:b/>
          <w:bCs/>
          <w:color w:val="1A3A5C"/>
          <w:sz w:val="26"/>
          <w:szCs w:val="26"/>
        </w:rPr>
        <w:t xml:space="preserve">III. The Expert Work AI Cannot Do</w:t>
      </w:r>
    </w:p>
    <w:p>
      <w:pPr>
        <w:spacing w:before="60" w:after="60"/>
      </w:pPr>
      <w:r>
        <w:rPr>
          <w:rFonts w:ascii="Calibri" w:cs="Calibri" w:eastAsia="Calibri" w:hAnsi="Calibri"/>
          <w:b w:val="false"/>
          <w:bCs w:val="false"/>
          <w:color w:val="1A1A2E"/>
          <w:sz w:val="20"/>
          <w:szCs w:val="20"/>
        </w:rPr>
        <w:t xml:space="preserve">The outcomes achieved in this program directly demonstrate that substantial expert judgment — not AI — drove the results. The following decisions were made by the course designer and cannot be attributed to or replicated by AI tools:</w:t>
      </w:r>
    </w:p>
    <w:p>
      <w:pPr>
        <w:pStyle w:val="ListParagraph"/>
        <w:numPr>
          <w:ilvl w:val="0"/>
          <w:numId w:val="2"/>
        </w:numPr>
        <w:spacing w:before="22" w:after="22"/>
      </w:pPr>
      <w:r>
        <w:rPr>
          <w:rFonts w:ascii="Calibri" w:cs="Calibri" w:eastAsia="Calibri" w:hAnsi="Calibri"/>
          <w:b/>
          <w:bCs/>
          <w:color w:val="1A1A2E"/>
          <w:sz w:val="20"/>
          <w:szCs w:val="20"/>
        </w:rPr>
        <w:t xml:space="preserve">Primary source curation: </w:t>
      </w:r>
      <w:r>
        <w:rPr>
          <w:rFonts w:ascii="Calibri" w:cs="Calibri" w:eastAsia="Calibri" w:hAnsi="Calibri"/>
          <w:b w:val="false"/>
          <w:bCs w:val="false"/>
          <w:color w:val="1A1A2E"/>
          <w:sz w:val="20"/>
          <w:szCs w:val="20"/>
        </w:rPr>
        <w:t xml:space="preserve">Each of the 16 primary sources across HIS-131 and HIS-132 was selected because of specific pedagogical reasoning — which voice, at which moment in the learning sequence, aligned to which Learning Activity and Apply task. These are expert curatorial decisions grounded in historical pedagogy, student learning research, and QM alignment principles.</w:t>
      </w:r>
    </w:p>
    <w:p>
      <w:pPr>
        <w:pStyle w:val="ListParagraph"/>
        <w:numPr>
          <w:ilvl w:val="0"/>
          <w:numId w:val="2"/>
        </w:numPr>
        <w:spacing w:before="22" w:after="22"/>
      </w:pPr>
      <w:r>
        <w:rPr>
          <w:rFonts w:ascii="Calibri" w:cs="Calibri" w:eastAsia="Calibri" w:hAnsi="Calibri"/>
          <w:b/>
          <w:bCs/>
          <w:color w:val="1A1A2E"/>
          <w:sz w:val="20"/>
          <w:szCs w:val="20"/>
        </w:rPr>
        <w:t xml:space="preserve">Outcomes architecture: </w:t>
      </w:r>
      <w:r>
        <w:rPr>
          <w:rFonts w:ascii="Calibri" w:cs="Calibri" w:eastAsia="Calibri" w:hAnsi="Calibri"/>
          <w:b w:val="false"/>
          <w:bCs w:val="false"/>
          <w:color w:val="1A1A2E"/>
          <w:sz w:val="20"/>
          <w:szCs w:val="20"/>
        </w:rPr>
        <w:t xml:space="preserve">The CLO → MLO → Activity → Assessment alignment chain documented in both course maps was constructed by simultaneously applying QM 7th Edition standards, Bloom's Taxonomy, and NCCCS curriculum requirements to every module.</w:t>
      </w:r>
    </w:p>
    <w:p>
      <w:pPr>
        <w:pStyle w:val="ListParagraph"/>
        <w:numPr>
          <w:ilvl w:val="0"/>
          <w:numId w:val="2"/>
        </w:numPr>
        <w:spacing w:before="22" w:after="22"/>
      </w:pPr>
      <w:r>
        <w:rPr>
          <w:rFonts w:ascii="Calibri" w:cs="Calibri" w:eastAsia="Calibri" w:hAnsi="Calibri"/>
          <w:b/>
          <w:bCs/>
          <w:color w:val="1A1A2E"/>
          <w:sz w:val="20"/>
          <w:szCs w:val="20"/>
        </w:rPr>
        <w:t xml:space="preserve">RSI design: </w:t>
      </w:r>
      <w:r>
        <w:rPr>
          <w:rFonts w:ascii="Calibri" w:cs="Calibri" w:eastAsia="Calibri" w:hAnsi="Calibri"/>
          <w:b w:val="false"/>
          <w:bCs w:val="false"/>
          <w:color w:val="1A1A2E"/>
          <w:sz w:val="20"/>
          <w:szCs w:val="20"/>
        </w:rPr>
        <w:t xml:space="preserve">Documenting 48+ instructor-initiated touchpoints per student, exceeding federal requirements by 10× under 34 CFR § 600.2, required understanding what RSI means legally and pedagogically, and designing a course structure that generates it systematically.</w:t>
      </w:r>
    </w:p>
    <w:p>
      <w:pPr>
        <w:pStyle w:val="ListParagraph"/>
        <w:numPr>
          <w:ilvl w:val="0"/>
          <w:numId w:val="2"/>
        </w:numPr>
        <w:spacing w:before="22" w:after="22"/>
      </w:pPr>
      <w:r>
        <w:rPr>
          <w:rFonts w:ascii="Calibri" w:cs="Calibri" w:eastAsia="Calibri" w:hAnsi="Calibri"/>
          <w:b/>
          <w:bCs/>
          <w:color w:val="1A1A2E"/>
          <w:sz w:val="20"/>
          <w:szCs w:val="20"/>
        </w:rPr>
        <w:t xml:space="preserve">Workload compliance: </w:t>
      </w:r>
      <w:r>
        <w:rPr>
          <w:rFonts w:ascii="Calibri" w:cs="Calibri" w:eastAsia="Calibri" w:hAnsi="Calibri"/>
          <w:b w:val="false"/>
          <w:bCs w:val="false"/>
          <w:color w:val="1A1A2E"/>
          <w:sz w:val="20"/>
          <w:szCs w:val="20"/>
        </w:rPr>
        <w:t xml:space="preserve">Calculating 137.5 documented student hours using CITL methodology, meeting the federal 3-credit-hour standard, required applying specific rate formulas to every activity type across 16 modules.</w:t>
      </w:r>
    </w:p>
    <w:p>
      <w:pPr>
        <w:pStyle w:val="ListParagraph"/>
        <w:numPr>
          <w:ilvl w:val="0"/>
          <w:numId w:val="2"/>
        </w:numPr>
        <w:spacing w:before="22" w:after="22"/>
      </w:pPr>
      <w:r>
        <w:rPr>
          <w:rFonts w:ascii="Calibri" w:cs="Calibri" w:eastAsia="Calibri" w:hAnsi="Calibri"/>
          <w:b/>
          <w:bCs/>
          <w:color w:val="1A1A2E"/>
          <w:sz w:val="20"/>
          <w:szCs w:val="20"/>
        </w:rPr>
        <w:t xml:space="preserve">Scaffold design: </w:t>
      </w:r>
      <w:r>
        <w:rPr>
          <w:rFonts w:ascii="Calibri" w:cs="Calibri" w:eastAsia="Calibri" w:hAnsi="Calibri"/>
          <w:b w:val="false"/>
          <w:bCs w:val="false"/>
          <w:color w:val="1A1A2E"/>
          <w:sz w:val="20"/>
          <w:szCs w:val="20"/>
        </w:rPr>
        <w:t xml:space="preserve">The Learn → Practice → Apply → Assess four-phase cycle, the DOK progression from recall to synthesis, the alternating Submit/DB milestone pattern — these represent research-informed instructional design decisions grounded in cognitive load theory and QM alignment.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D7D9A" w:sz="6"/>
              <w:left w:val="single" w:color="2D7D9A" w:sz="16"/>
              <w:bottom w:val="single" w:color="2D7D9A" w:sz="2"/>
              <w:right w:val="single" w:color="2D7D9A" w:sz="2"/>
            </w:tcBorders>
            <w:shd w:fill="D5E8F0" w:val="clear"/>
            <w:tcMar>
              <w:top w:type="dxa" w:w="110"/>
              <w:left w:type="dxa" w:w="170"/>
              <w:bottom w:type="dxa" w:w="110"/>
              <w:right w:type="dxa" w:w="170"/>
            </w:tcMar>
          </w:tcPr>
          <w:p>
            <w:pPr>
              <w:spacing w:before="0" w:after="35"/>
            </w:pPr>
            <w:r>
              <w:rPr>
                <w:rFonts w:ascii="Calibri" w:cs="Calibri" w:eastAsia="Calibri" w:hAnsi="Calibri"/>
                <w:b/>
                <w:bCs/>
                <w:color w:val="2D7D9A"/>
                <w:sz w:val="18"/>
                <w:szCs w:val="18"/>
              </w:rPr>
              <w:t xml:space="preserve">The Outcomes Confirm the Process</w:t>
            </w:r>
          </w:p>
          <w:p>
            <w:pPr>
              <w:spacing w:before="0" w:after="0"/>
            </w:pPr>
            <w:r>
              <w:rPr>
                <w:rFonts w:ascii="Calibri" w:cs="Calibri" w:eastAsia="Calibri" w:hAnsi="Calibri"/>
                <w:b w:val="false"/>
                <w:bCs w:val="false"/>
                <w:color w:val="1A1A2E"/>
                <w:sz w:val="19"/>
                <w:szCs w:val="19"/>
              </w:rPr>
              <w:t xml:space="preserve">22/22 QM Essential Standards  |  137.5 Student Hours Documented  |  48+ RSI Touchpoints  |  $0 Cost to Students
These outcomes cannot be produced by submitting a course name to an AI tool. They require expert instructional design judgment. The AI produced the documents. The designer produced the course.</w:t>
            </w:r>
          </w:p>
        </w:tc>
      </w:tr>
    </w:tbl>
    <w:p/>
    <w:p>
      <w:pPr>
        <w:pBdr>
          <w:bottom w:val="single" w:color="C9A84C" w:sz="5" w:space="4"/>
        </w:pBdr>
        <w:spacing w:before="220" w:after="70"/>
      </w:pPr>
      <w:r>
        <w:rPr>
          <w:rFonts w:ascii="Calibri" w:cs="Calibri" w:eastAsia="Calibri" w:hAnsi="Calibri"/>
          <w:b/>
          <w:bCs/>
          <w:color w:val="1A3A5C"/>
          <w:sz w:val="26"/>
          <w:szCs w:val="26"/>
        </w:rPr>
        <w:t xml:space="preserve">IV. The Broader Professional Context</w:t>
      </w:r>
    </w:p>
    <w:p>
      <w:pPr>
        <w:spacing w:before="60" w:after="60"/>
      </w:pPr>
      <w:r>
        <w:rPr>
          <w:rFonts w:ascii="Calibri" w:cs="Calibri" w:eastAsia="Calibri" w:hAnsi="Calibri"/>
          <w:b w:val="false"/>
          <w:bCs w:val="false"/>
          <w:color w:val="1A1A2E"/>
          <w:sz w:val="20"/>
          <w:szCs w:val="20"/>
        </w:rPr>
        <w:t xml:space="preserve">The use of AI tools in instructional design reflects the current direction of the profession, not a deviation from it. Every major instructional design professional organization — QM, EDUCAUSE, and the research community — has published guidance on responsible AI integration. None recommends avoidance. All recommend strategic, human-supervised use.</w:t>
      </w:r>
    </w:p>
    <w:p>
      <w:pPr>
        <w:pStyle w:val="ListParagraph"/>
        <w:numPr>
          <w:ilvl w:val="0"/>
          <w:numId w:val="2"/>
        </w:numPr>
        <w:spacing w:before="22" w:after="22"/>
      </w:pPr>
      <w:r>
        <w:rPr>
          <w:rFonts w:ascii="Calibri" w:cs="Calibri" w:eastAsia="Calibri" w:hAnsi="Calibri"/>
          <w:b/>
          <w:bCs/>
          <w:color w:val="1A1A2E"/>
          <w:sz w:val="20"/>
          <w:szCs w:val="20"/>
        </w:rPr>
        <w:t xml:space="preserve">EDUCAUSE (2024, cited in QM Toolkit Section III): </w:t>
      </w:r>
      <w:r>
        <w:rPr>
          <w:rFonts w:ascii="Calibri" w:cs="Calibri" w:eastAsia="Calibri" w:hAnsi="Calibri"/>
          <w:b w:val="false"/>
          <w:bCs w:val="false"/>
          <w:color w:val="1A1A2E"/>
          <w:sz w:val="20"/>
          <w:szCs w:val="20"/>
        </w:rPr>
        <w:t xml:space="preserve">"Augmented Course Design: Using AI to Boost Efficiency and Expand Capacity" — framing AI-assisted design as augmentation, not replacement</w:t>
      </w:r>
    </w:p>
    <w:p>
      <w:pPr>
        <w:pStyle w:val="ListParagraph"/>
        <w:numPr>
          <w:ilvl w:val="0"/>
          <w:numId w:val="2"/>
        </w:numPr>
        <w:spacing w:before="22" w:after="22"/>
      </w:pPr>
      <w:r>
        <w:rPr>
          <w:rFonts w:ascii="Calibri" w:cs="Calibri" w:eastAsia="Calibri" w:hAnsi="Calibri"/>
          <w:b/>
          <w:bCs/>
          <w:color w:val="1A1A2E"/>
          <w:sz w:val="20"/>
          <w:szCs w:val="20"/>
        </w:rPr>
        <w:t xml:space="preserve">QM's own framing (all sections, 2025): </w:t>
      </w:r>
      <w:r>
        <w:rPr>
          <w:rFonts w:ascii="Calibri" w:cs="Calibri" w:eastAsia="Calibri" w:hAnsi="Calibri"/>
          <w:b w:val="false"/>
          <w:bCs w:val="false"/>
          <w:color w:val="1A1A2E"/>
          <w:sz w:val="20"/>
          <w:szCs w:val="20"/>
        </w:rPr>
        <w:t xml:space="preserve">"Strategic integration" of AI is described as "essential" — not optional, not cautionary, not experimental</w:t>
      </w:r>
    </w:p>
    <w:p>
      <w:pPr>
        <w:pStyle w:val="ListParagraph"/>
        <w:numPr>
          <w:ilvl w:val="0"/>
          <w:numId w:val="2"/>
        </w:numPr>
        <w:spacing w:before="22" w:after="22"/>
      </w:pPr>
      <w:r>
        <w:rPr>
          <w:rFonts w:ascii="Calibri" w:cs="Calibri" w:eastAsia="Calibri" w:hAnsi="Calibri"/>
          <w:b/>
          <w:bCs/>
          <w:color w:val="1A1A2E"/>
          <w:sz w:val="20"/>
          <w:szCs w:val="20"/>
        </w:rPr>
        <w:t xml:space="preserve">QM Toolkit Section III (p. 3): </w:t>
      </w:r>
      <w:r>
        <w:rPr>
          <w:rFonts w:ascii="Calibri" w:cs="Calibri" w:eastAsia="Calibri" w:hAnsi="Calibri"/>
          <w:b w:val="false"/>
          <w:bCs w:val="false"/>
          <w:color w:val="1A1A2E"/>
          <w:sz w:val="20"/>
          <w:szCs w:val="20"/>
        </w:rPr>
        <w:t xml:space="preserve">"It is not intended as advocacy for the use of AI and instructional design units should follow their own institutional policy in deciding where and how to use this tool" — notably, it IS intended to "raise discussion points for campus implementation"</w:t>
      </w:r>
    </w:p>
    <w:p/>
    <w:p>
      <w:pPr>
        <w:spacing w:before="60" w:after="80"/>
      </w:pPr>
      <w:r>
        <w:rPr>
          <w:rFonts w:ascii="Calibri" w:cs="Calibri" w:eastAsia="Calibri" w:hAnsi="Calibri"/>
          <w:b w:val="false"/>
          <w:bCs w:val="false"/>
          <w:color w:val="1A1A2E"/>
          <w:sz w:val="20"/>
          <w:szCs w:val="20"/>
        </w:rPr>
        <w:t xml:space="preserve">An instructional designer who declined to use available professional tools when producing course documentation at scale would not be demonstrating superior rigor — they would be demonstrating unfamiliarity with current professional practice.</w:t>
      </w:r>
    </w:p>
    <w:p>
      <w:pPr>
        <w:pBdr>
          <w:bottom w:val="single" w:color="C9A84C" w:sz="5" w:space="4"/>
        </w:pBdr>
        <w:spacing w:before="220" w:after="70"/>
      </w:pPr>
      <w:r>
        <w:rPr>
          <w:rFonts w:ascii="Calibri" w:cs="Calibri" w:eastAsia="Calibri" w:hAnsi="Calibri"/>
          <w:b/>
          <w:bCs/>
          <w:color w:val="1A3A5C"/>
          <w:sz w:val="26"/>
          <w:szCs w:val="26"/>
        </w:rPr>
        <w:t xml:space="preserve">V. Closing Statement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0"/>
            </w:pPr>
            <w:r>
              <w:rPr>
                <w:rFonts w:ascii="Calibri" w:cs="Calibri" w:eastAsia="Calibri" w:hAnsi="Calibri"/>
                <w:b w:val="false"/>
                <w:bCs w:val="false"/>
                <w:color w:val="1A1A2E"/>
                <w:sz w:val="19"/>
                <w:szCs w:val="19"/>
              </w:rPr>
              <w:t xml:space="preserve">The work produced for the HQCDP represents the deliberate application of 20+ years of instructional design expertise, four Quality Matters certifications, deep knowledge of federal RSI and workload compliance requirements, and current professional practice in AI-assisted design. The AI tools used are the same tools QM uses and recommends. The process is consistent with everything QM has published on this topic.
The courses are well-designed because of the expertise behind them. The documents are well-formatted because of the tools used to produce them. Both things are true, and neither diminishes the other.</w:t>
            </w:r>
          </w:p>
        </w:tc>
      </w:tr>
    </w:tbl>
    <w:p/>
    <w:p>
      <w:pPr>
        <w:spacing w:before="160" w:after="40"/>
      </w:pPr>
      <w:r>
        <w:rPr>
          <w:rFonts w:ascii="Calibri" w:cs="Calibri" w:eastAsia="Calibri" w:hAnsi="Calibri"/>
          <w:b/>
          <w:bCs/>
          <w:color w:val="2D7D9A"/>
          <w:sz w:val="22"/>
          <w:szCs w:val="22"/>
        </w:rPr>
        <w:t xml:space="preserve">References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A Toolkit from Quality Matters, Section I: Core Principles &amp; General Recommendations. CC BY-NC-SA 4.0.</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A Toolkit from Quality Matters, Section II: High-Impact Implementation Strategies &amp; Sample Professional Development Plan. CC BY-NC-SA 4.0.</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A Toolkit from Quality Matters, Section III: AI-Integration Support for Instructional Design Staff &amp; Quality Matters AI Integration Rubric. CC BY-NC-SA 4.0.</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Quality Matters. (2025). AI Integration for Course Design: A Toolkit from Quality Matters, Section IV: Research Citations and References. CC BY-NC-SA 4.0.</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94A3B8" w:sz="10"/>
              <w:bottom w:val="none" w:color="FFFFFF" w:sz="0"/>
              <w:right w:val="none" w:color="FFFFFF" w:sz="0"/>
            </w:tcBorders>
            <w:shd w:fill="F5F7FA" w:val="clear"/>
            <w:tcMar>
              <w:top w:type="dxa" w:w="80"/>
              <w:left w:type="dxa" w:w="160"/>
              <w:bottom w:type="dxa" w:w="80"/>
              <w:right w:type="dxa" w:w="160"/>
            </w:tcMar>
          </w:tcPr>
          <w:p>
            <w:pPr>
              <w:spacing w:before="0" w:after="0"/>
            </w:pPr>
            <w:r>
              <w:rPr>
                <w:rFonts w:ascii="Calibri" w:cs="Calibri" w:eastAsia="Calibri" w:hAnsi="Calibri"/>
                <w:b w:val="false"/>
                <w:bCs w:val="false"/>
                <w:color w:val="64748B"/>
                <w:sz w:val="17"/>
                <w:szCs w:val="17"/>
              </w:rPr>
              <w:t xml:space="preserve">Fang, B., &amp; Broussard, K. (2024). Augmented Course Design: Using AI to Boost Efficiency and Expand Capacity. EDUCAUSE Review. https://er.educause.edu/articles/2024/8/augmented-course-design-using-ai-to-boost-efficiency-and-expand-capacity</w:t>
            </w:r>
          </w:p>
        </w:tc>
      </w:tr>
    </w:tbl>
    <w:p/>
    <w:p/>
    <w:p>
      <w:pPr>
        <w:pBdr>
          <w:bottom w:val="single" w:color="C9A84C" w:sz="4" w:space="1"/>
        </w:pBdr>
        <w:spacing w:before="80" w:after="80"/>
      </w:pPr>
    </w:p>
    <w:p>
      <w:pPr>
        <w:spacing w:before="80" w:after="30"/>
        <w:jc w:val="center"/>
      </w:pPr>
      <w:r>
        <w:rPr>
          <w:rFonts w:ascii="Calibri" w:cs="Calibri" w:eastAsia="Calibri" w:hAnsi="Calibri"/>
          <w:b/>
          <w:bCs/>
          <w:color w:val="1A3A5C"/>
          <w:sz w:val="20"/>
          <w:szCs w:val="20"/>
        </w:rPr>
        <w:t xml:space="preserve">Angela Westmoreland, M.Ed.</w:t>
      </w:r>
    </w:p>
    <w:p>
      <w:pPr>
        <w:jc w:val="center"/>
      </w:pPr>
      <w:r>
        <w:rPr>
          <w:rFonts w:ascii="Calibri" w:cs="Calibri" w:eastAsia="Calibri" w:hAnsi="Calibri"/>
          <w:b w:val="false"/>
          <w:bCs w:val="false"/>
          <w:color w:val="64748B"/>
          <w:sz w:val="18"/>
          <w:szCs w:val="18"/>
        </w:rPr>
        <w:t xml:space="preserve">Instructional Support &amp; Quality Assurance Analyst  |  Fayetteville Technical Community College</w:t>
      </w:r>
    </w:p>
    <w:p>
      <w:pPr>
        <w:jc w:val="center"/>
      </w:pPr>
      <w:r>
        <w:rPr>
          <w:rFonts w:ascii="Calibri" w:cs="Calibri" w:eastAsia="Calibri" w:hAnsi="Calibri"/>
          <w:b w:val="false"/>
          <w:bCs w:val="false"/>
          <w:color w:val="64748B"/>
          <w:sz w:val="18"/>
          <w:szCs w:val="18"/>
        </w:rPr>
        <w:t xml:space="preserve">M.Ed. | Graduate Certificate in Computer Education, ECU | Four QM Certifications | 20+ Years ID Experience</w:t>
      </w:r>
    </w:p>
    <w:p>
      <w:pPr>
        <w:jc w:val="center"/>
      </w:pPr>
      <w:r>
        <w:rPr>
          <w:rFonts w:ascii="Calibri" w:cs="Calibri" w:eastAsia="Calibri" w:hAnsi="Calibri"/>
          <w:b w:val="false"/>
          <w:bCs w:val="false"/>
          <w:color w:val="64748B"/>
          <w:sz w:val="18"/>
          <w:szCs w:val="18"/>
        </w:rPr>
        <w:t xml:space="preserve">Elected Vice President, NC Community College Association of Distance Learning | Spring 2026</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2026-03-17T16:16:48.472Z</dcterms:created>
  <dcterms:modified xsi:type="dcterms:W3CDTF">2026-03-17T16:16:48.472Z</dcterms:modified>
</cp:coreProperties>
</file>

<file path=docProps/custom.xml><?xml version="1.0" encoding="utf-8"?>
<Properties xmlns="http://schemas.openxmlformats.org/officeDocument/2006/custom-properties" xmlns:vt="http://schemas.openxmlformats.org/officeDocument/2006/docPropsVTypes"/>
</file>